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5168" w:type="dxa"/>
        <w:tblInd w:w="-17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615"/>
        <w:gridCol w:w="10303"/>
        <w:gridCol w:w="706"/>
        <w:gridCol w:w="2544"/>
      </w:tblGrid>
      <w:tr w:rsidR="001551C8" w:rsidRPr="005C2175" w:rsidTr="001551C8">
        <w:tc>
          <w:tcPr>
            <w:tcW w:w="15168" w:type="dxa"/>
            <w:gridSpan w:val="4"/>
            <w:shd w:val="clear" w:color="auto" w:fill="C00000"/>
          </w:tcPr>
          <w:p w:rsidR="001551C8" w:rsidRPr="001551C8" w:rsidRDefault="00ED478A" w:rsidP="001551C8">
            <w:pPr>
              <w:jc w:val="center"/>
              <w:rPr>
                <w:b/>
                <w:sz w:val="40"/>
                <w:szCs w:val="40"/>
                <w:lang w:val="en-GB"/>
              </w:rPr>
            </w:pPr>
            <w:bookmarkStart w:id="0" w:name="_GoBack"/>
            <w:bookmarkEnd w:id="0"/>
            <w:r>
              <w:rPr>
                <w:b/>
                <w:sz w:val="40"/>
                <w:szCs w:val="40"/>
                <w:lang w:val="en-GB"/>
              </w:rPr>
              <w:t>C</w:t>
            </w:r>
            <w:r w:rsidR="001551C8" w:rsidRPr="001551C8">
              <w:rPr>
                <w:b/>
                <w:sz w:val="40"/>
                <w:szCs w:val="40"/>
                <w:lang w:val="en-GB"/>
              </w:rPr>
              <w:t>hecklist f</w:t>
            </w:r>
            <w:r w:rsidR="001551C8">
              <w:rPr>
                <w:b/>
                <w:sz w:val="40"/>
                <w:szCs w:val="40"/>
                <w:lang w:val="en-GB"/>
              </w:rPr>
              <w:t xml:space="preserve">or the use of cash for </w:t>
            </w:r>
            <w:r w:rsidR="00222B22">
              <w:rPr>
                <w:b/>
                <w:sz w:val="40"/>
                <w:szCs w:val="40"/>
                <w:lang w:val="en-GB"/>
              </w:rPr>
              <w:t>rent</w:t>
            </w:r>
          </w:p>
        </w:tc>
      </w:tr>
      <w:tr w:rsidR="001551C8" w:rsidRPr="005C2175" w:rsidTr="001551C8">
        <w:trPr>
          <w:trHeight w:val="1183"/>
        </w:trPr>
        <w:tc>
          <w:tcPr>
            <w:tcW w:w="15168" w:type="dxa"/>
            <w:gridSpan w:val="4"/>
          </w:tcPr>
          <w:p w:rsidR="00C5254D" w:rsidRDefault="00222B22" w:rsidP="00945E98">
            <w:pPr>
              <w:pStyle w:val="KeinLeerraum"/>
            </w:pPr>
            <w:r>
              <w:rPr>
                <w:b/>
                <w:lang w:val="en-GB"/>
              </w:rPr>
              <w:t>Rental support</w:t>
            </w:r>
            <w:r w:rsidR="001551C8">
              <w:rPr>
                <w:b/>
                <w:lang w:val="en-GB"/>
              </w:rPr>
              <w:t xml:space="preserve">: </w:t>
            </w:r>
            <w:r w:rsidR="001551C8" w:rsidRPr="00A54EED">
              <w:rPr>
                <w:lang w:val="en-GB"/>
              </w:rPr>
              <w:t xml:space="preserve"> </w:t>
            </w:r>
            <w:r w:rsidR="001551C8">
              <w:t xml:space="preserve"> </w:t>
            </w:r>
            <w:r w:rsidR="009D66FB">
              <w:t xml:space="preserve">designed to </w:t>
            </w:r>
            <w:r>
              <w:t>provide</w:t>
            </w:r>
            <w:r w:rsidR="00260390">
              <w:t xml:space="preserve"> </w:t>
            </w:r>
            <w:r w:rsidR="00E009EF">
              <w:t xml:space="preserve">the persons of concern (PoC) </w:t>
            </w:r>
            <w:r>
              <w:t>secure tenancy and protect them from forced eviction</w:t>
            </w:r>
            <w:r w:rsidR="009D66FB">
              <w:t xml:space="preserve">. </w:t>
            </w:r>
            <w:r w:rsidR="00907756">
              <w:t xml:space="preserve">The most common reason </w:t>
            </w:r>
            <w:r w:rsidR="001635CA">
              <w:t>for</w:t>
            </w:r>
            <w:r w:rsidR="00907756">
              <w:t xml:space="preserve"> forced eviction is that the displaced </w:t>
            </w:r>
            <w:r w:rsidR="00B37948">
              <w:t>household</w:t>
            </w:r>
            <w:r w:rsidR="00907756">
              <w:t xml:space="preserve"> is no longer able to pay for the rent </w:t>
            </w:r>
            <w:r w:rsidR="00B37948">
              <w:t>for</w:t>
            </w:r>
            <w:r w:rsidR="00907756">
              <w:t xml:space="preserve"> their accommodation. Expenses for rent and utilities </w:t>
            </w:r>
            <w:r w:rsidR="00B37948">
              <w:t xml:space="preserve">usually </w:t>
            </w:r>
            <w:r w:rsidR="00907756">
              <w:t xml:space="preserve">take the </w:t>
            </w:r>
            <w:r w:rsidR="00B37948">
              <w:t>largest</w:t>
            </w:r>
            <w:r w:rsidR="00907756">
              <w:t xml:space="preserve"> percentage of a minimum expenditure basket (MEB). </w:t>
            </w:r>
            <w:r>
              <w:t>R</w:t>
            </w:r>
            <w:r w:rsidRPr="006643B5">
              <w:rPr>
                <w:lang w:val="en-GB"/>
              </w:rPr>
              <w:t>ental subsidy is one of the most common shelter assistance modalities in urban settings, where either the beneficiary or the landlord receives the payments</w:t>
            </w:r>
            <w:r w:rsidR="00B915B0">
              <w:rPr>
                <w:lang w:val="en-GB"/>
              </w:rPr>
              <w:t xml:space="preserve"> over an agreed period. The duration of the period must be agreed between the partners. It should give</w:t>
            </w:r>
            <w:r w:rsidR="00060694">
              <w:rPr>
                <w:lang w:val="en-GB"/>
              </w:rPr>
              <w:t xml:space="preserve"> PoC </w:t>
            </w:r>
            <w:r w:rsidR="00B915B0">
              <w:rPr>
                <w:lang w:val="en-GB"/>
              </w:rPr>
              <w:t>enough time to find income opportunities</w:t>
            </w:r>
            <w:r w:rsidR="00B37948">
              <w:rPr>
                <w:lang w:val="en-GB"/>
              </w:rPr>
              <w:t>;</w:t>
            </w:r>
            <w:r w:rsidR="00B915B0">
              <w:rPr>
                <w:lang w:val="en-GB"/>
              </w:rPr>
              <w:t xml:space="preserve"> often a duration of 12 months is targeted for.</w:t>
            </w:r>
          </w:p>
          <w:p w:rsidR="001551C8" w:rsidRDefault="00B915B0" w:rsidP="00B915B0">
            <w:pPr>
              <w:pStyle w:val="KeinLeerraum"/>
              <w:rPr>
                <w:lang w:val="en-GB"/>
              </w:rPr>
            </w:pPr>
            <w:r>
              <w:rPr>
                <w:lang w:val="en-GB"/>
              </w:rPr>
              <w:t>Cash for rent</w:t>
            </w:r>
            <w:r w:rsidRPr="006643B5">
              <w:rPr>
                <w:lang w:val="en-GB"/>
              </w:rPr>
              <w:t xml:space="preserve"> falls in most cases under the ‘restricted and conditional’ type of cash support. A pre-qualifying condition could be a formal rental contract, or </w:t>
            </w:r>
            <w:r>
              <w:rPr>
                <w:lang w:val="en-GB"/>
              </w:rPr>
              <w:t>an</w:t>
            </w:r>
            <w:r w:rsidRPr="006643B5">
              <w:rPr>
                <w:lang w:val="en-GB"/>
              </w:rPr>
              <w:t xml:space="preserve">other legally binding signed rental agreement. It is usually restricted, because the cash assistance is designed to cover rental needs. In case of a MPCG, rental costs might be part of the MEB and therefore </w:t>
            </w:r>
            <w:r>
              <w:rPr>
                <w:lang w:val="en-GB"/>
              </w:rPr>
              <w:t xml:space="preserve">the cash is </w:t>
            </w:r>
            <w:r w:rsidRPr="006643B5">
              <w:rPr>
                <w:lang w:val="en-GB"/>
              </w:rPr>
              <w:t>not restricted.</w:t>
            </w:r>
          </w:p>
          <w:p w:rsidR="00ED478A" w:rsidRPr="001551C8" w:rsidRDefault="00ED478A" w:rsidP="00B915B0">
            <w:pPr>
              <w:pStyle w:val="KeinLeerraum"/>
              <w:rPr>
                <w:lang w:val="en-GB"/>
              </w:rPr>
            </w:pPr>
            <w:r w:rsidRPr="00827A13">
              <w:rPr>
                <w:b/>
                <w:u w:val="single"/>
                <w:lang w:val="en-GB"/>
              </w:rPr>
              <w:t>Purpose of checklist</w:t>
            </w:r>
            <w:r>
              <w:rPr>
                <w:lang w:val="en-GB"/>
              </w:rPr>
              <w:t>: As a shelter officer, you play a key role in ensuring a shelter response upholds technical standards and meets the needs of persons of concern. To this end, the below checklist outlines</w:t>
            </w:r>
            <w:r w:rsidRPr="005517C1">
              <w:t xml:space="preserve"> </w:t>
            </w:r>
            <w:r>
              <w:t>t</w:t>
            </w:r>
            <w:r w:rsidRPr="005517C1">
              <w:t xml:space="preserve">he steps that are </w:t>
            </w:r>
            <w:r>
              <w:t>required</w:t>
            </w:r>
            <w:r w:rsidRPr="005517C1">
              <w:t xml:space="preserve"> to </w:t>
            </w:r>
            <w:r>
              <w:t xml:space="preserve">systematically </w:t>
            </w:r>
            <w:r w:rsidRPr="005517C1">
              <w:t xml:space="preserve">establish a </w:t>
            </w:r>
            <w:r>
              <w:t xml:space="preserve">cash for rent programme </w:t>
            </w:r>
            <w:r w:rsidRPr="005517C1">
              <w:t xml:space="preserve">in a UNHCR operation. </w:t>
            </w:r>
            <w:r>
              <w:t xml:space="preserve">It is important to highlight that all steps are to be undertaken in close coordination with other members of the multi-functional team and the in-country or regional CBI Officer. While as a shelter officer, you may not be leading certain steps throughout the response, your input is essential throughout the programme to uphold technical accountability and ensure appropriate quality control and monitoring. </w:t>
            </w:r>
            <w:r w:rsidRPr="005517C1">
              <w:t xml:space="preserve">Several of the activities should be conducted simultaneously. </w:t>
            </w:r>
            <w:r>
              <w:rPr>
                <w:lang w:val="en-GB"/>
              </w:rPr>
              <w:t xml:space="preserve"> </w:t>
            </w:r>
            <w:r w:rsidR="00625269">
              <w:rPr>
                <w:lang w:val="en-GB"/>
              </w:rPr>
              <w:t>This checklist should be used in combination with the ‘cash for shelter programming’ checklist.</w:t>
            </w:r>
          </w:p>
        </w:tc>
      </w:tr>
      <w:tr w:rsidR="001551C8" w:rsidRPr="001551C8" w:rsidTr="00060694">
        <w:tc>
          <w:tcPr>
            <w:tcW w:w="1615" w:type="dxa"/>
            <w:shd w:val="clear" w:color="auto" w:fill="C4BC96" w:themeFill="background2" w:themeFillShade="BF"/>
          </w:tcPr>
          <w:p w:rsidR="001551C8" w:rsidRPr="001551C8" w:rsidRDefault="001551C8">
            <w:pPr>
              <w:rPr>
                <w:rFonts w:cstheme="minorHAnsi"/>
                <w:b/>
                <w:sz w:val="24"/>
                <w:szCs w:val="24"/>
                <w:lang w:val="en-GB"/>
              </w:rPr>
            </w:pPr>
            <w:r>
              <w:rPr>
                <w:rFonts w:cstheme="minorHAnsi"/>
                <w:b/>
                <w:sz w:val="24"/>
                <w:szCs w:val="24"/>
                <w:lang w:val="en-GB"/>
              </w:rPr>
              <w:t>Area</w:t>
            </w:r>
          </w:p>
        </w:tc>
        <w:tc>
          <w:tcPr>
            <w:tcW w:w="10303" w:type="dxa"/>
            <w:shd w:val="clear" w:color="auto" w:fill="C4BC96" w:themeFill="background2" w:themeFillShade="BF"/>
          </w:tcPr>
          <w:p w:rsidR="001551C8" w:rsidRPr="001551C8" w:rsidRDefault="001551C8">
            <w:pPr>
              <w:rPr>
                <w:b/>
                <w:sz w:val="24"/>
                <w:szCs w:val="24"/>
                <w:lang w:val="en-GB"/>
              </w:rPr>
            </w:pPr>
            <w:r w:rsidRPr="001551C8">
              <w:rPr>
                <w:b/>
                <w:sz w:val="24"/>
                <w:szCs w:val="24"/>
                <w:lang w:val="en-GB"/>
              </w:rPr>
              <w:t>Action</w:t>
            </w:r>
          </w:p>
        </w:tc>
        <w:tc>
          <w:tcPr>
            <w:tcW w:w="706" w:type="dxa"/>
            <w:shd w:val="clear" w:color="auto" w:fill="C4BC96" w:themeFill="background2" w:themeFillShade="BF"/>
          </w:tcPr>
          <w:p w:rsidR="001551C8" w:rsidRPr="001551C8" w:rsidRDefault="00BE6022">
            <w:pPr>
              <w:rPr>
                <w:lang w:val="en-GB"/>
              </w:rPr>
            </w:pPr>
            <w:r>
              <w:rPr>
                <w:noProof/>
                <w:lang w:val="en-GB"/>
              </w:rPr>
              <w:drawing>
                <wp:inline distT="0" distB="0" distL="0" distR="0" wp14:anchorId="5159AA08" wp14:editId="77DCD39D">
                  <wp:extent cx="214457" cy="214457"/>
                  <wp:effectExtent l="0" t="0" r="0" b="0"/>
                  <wp:docPr id="1" name="Grafik 1" descr="Häk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eckmark.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37314" cy="237314"/>
                          </a:xfrm>
                          <a:prstGeom prst="rect">
                            <a:avLst/>
                          </a:prstGeom>
                        </pic:spPr>
                      </pic:pic>
                    </a:graphicData>
                  </a:graphic>
                </wp:inline>
              </w:drawing>
            </w:r>
          </w:p>
        </w:tc>
        <w:tc>
          <w:tcPr>
            <w:tcW w:w="2544" w:type="dxa"/>
            <w:shd w:val="clear" w:color="auto" w:fill="C4BC96" w:themeFill="background2" w:themeFillShade="BF"/>
          </w:tcPr>
          <w:p w:rsidR="001551C8" w:rsidRPr="001551C8" w:rsidRDefault="001551C8">
            <w:pPr>
              <w:rPr>
                <w:b/>
                <w:sz w:val="24"/>
                <w:szCs w:val="24"/>
                <w:lang w:val="en-GB"/>
              </w:rPr>
            </w:pPr>
            <w:r w:rsidRPr="001551C8">
              <w:rPr>
                <w:b/>
                <w:sz w:val="24"/>
                <w:szCs w:val="24"/>
                <w:lang w:val="en-GB"/>
              </w:rPr>
              <w:t>Comments</w:t>
            </w:r>
          </w:p>
        </w:tc>
      </w:tr>
      <w:tr w:rsidR="00EA5F23" w:rsidRPr="005479A7" w:rsidTr="00C77C56">
        <w:tc>
          <w:tcPr>
            <w:tcW w:w="1615" w:type="dxa"/>
            <w:vMerge w:val="restart"/>
          </w:tcPr>
          <w:p w:rsidR="00EA5F23" w:rsidRPr="00EA5F23" w:rsidRDefault="00EA5F23">
            <w:pPr>
              <w:rPr>
                <w:b/>
                <w:sz w:val="24"/>
                <w:szCs w:val="24"/>
                <w:lang w:val="en-GB"/>
              </w:rPr>
            </w:pPr>
            <w:r w:rsidRPr="00EA5F23">
              <w:rPr>
                <w:b/>
                <w:sz w:val="24"/>
                <w:szCs w:val="24"/>
                <w:lang w:val="en-GB"/>
              </w:rPr>
              <w:t xml:space="preserve">Context and </w:t>
            </w:r>
            <w:r>
              <w:rPr>
                <w:b/>
                <w:sz w:val="24"/>
                <w:szCs w:val="24"/>
                <w:lang w:val="en-GB"/>
              </w:rPr>
              <w:t>n</w:t>
            </w:r>
            <w:r w:rsidRPr="00EA5F23">
              <w:rPr>
                <w:b/>
                <w:sz w:val="24"/>
                <w:szCs w:val="24"/>
                <w:lang w:val="en-GB"/>
              </w:rPr>
              <w:t>eeds analysis</w:t>
            </w:r>
          </w:p>
        </w:tc>
        <w:tc>
          <w:tcPr>
            <w:tcW w:w="10303" w:type="dxa"/>
          </w:tcPr>
          <w:p w:rsidR="0046608C" w:rsidRPr="00E6702A" w:rsidRDefault="00A34D77" w:rsidP="00060694">
            <w:pPr>
              <w:pStyle w:val="Listenabsatz"/>
              <w:numPr>
                <w:ilvl w:val="0"/>
                <w:numId w:val="8"/>
              </w:numPr>
              <w:rPr>
                <w:lang w:val="en-GB"/>
              </w:rPr>
            </w:pPr>
            <w:r>
              <w:rPr>
                <w:lang w:val="en-GB"/>
              </w:rPr>
              <w:t>U</w:t>
            </w:r>
            <w:r w:rsidR="00EA5F23" w:rsidRPr="00E6702A">
              <w:rPr>
                <w:lang w:val="en-GB"/>
              </w:rPr>
              <w:t>se / verify existing multi-sectoral, and shelter-specific needs assessments</w:t>
            </w:r>
            <w:r w:rsidR="00E6702A">
              <w:rPr>
                <w:lang w:val="en-GB"/>
              </w:rPr>
              <w:t>,</w:t>
            </w:r>
            <w:r w:rsidR="00EA5F23" w:rsidRPr="00E6702A">
              <w:rPr>
                <w:lang w:val="en-GB"/>
              </w:rPr>
              <w:t xml:space="preserve"> </w:t>
            </w:r>
            <w:r w:rsidR="009D66FB" w:rsidRPr="00E6702A">
              <w:rPr>
                <w:lang w:val="en-GB"/>
              </w:rPr>
              <w:t>focussing on non-food items</w:t>
            </w:r>
          </w:p>
          <w:p w:rsidR="00B915B0" w:rsidRPr="005E21BE" w:rsidRDefault="00B915B0" w:rsidP="00CD461E">
            <w:pPr>
              <w:pStyle w:val="KeinLeerraum"/>
              <w:numPr>
                <w:ilvl w:val="0"/>
                <w:numId w:val="7"/>
              </w:numPr>
              <w:rPr>
                <w:lang w:val="en-GB"/>
              </w:rPr>
            </w:pPr>
            <w:r w:rsidRPr="002B718E">
              <w:rPr>
                <w:lang w:val="en-GB"/>
              </w:rPr>
              <w:t xml:space="preserve">Where does the affected population stay now? </w:t>
            </w:r>
          </w:p>
          <w:p w:rsidR="00B915B0" w:rsidRPr="002B718E" w:rsidRDefault="00B915B0" w:rsidP="002B718E">
            <w:pPr>
              <w:pStyle w:val="KeinLeerraum"/>
              <w:numPr>
                <w:ilvl w:val="0"/>
                <w:numId w:val="1"/>
              </w:numPr>
              <w:rPr>
                <w:lang w:val="en-GB"/>
              </w:rPr>
            </w:pPr>
            <w:r w:rsidRPr="002B718E">
              <w:rPr>
                <w:lang w:val="en-GB"/>
              </w:rPr>
              <w:t>What is the average size of households of the PoC? Who belongs to a HH?</w:t>
            </w:r>
          </w:p>
          <w:p w:rsidR="00B915B0" w:rsidRDefault="00B915B0" w:rsidP="00B915B0">
            <w:pPr>
              <w:pStyle w:val="KeinLeerraum"/>
              <w:numPr>
                <w:ilvl w:val="0"/>
                <w:numId w:val="1"/>
              </w:numPr>
              <w:rPr>
                <w:lang w:val="en-GB"/>
              </w:rPr>
            </w:pPr>
            <w:r>
              <w:rPr>
                <w:lang w:val="en-GB"/>
              </w:rPr>
              <w:t>Number of HH staying in standard accommodation, but in need of rental subsidy to prevent eviction</w:t>
            </w:r>
          </w:p>
          <w:p w:rsidR="00B915B0" w:rsidRPr="005E21BE" w:rsidRDefault="00B915B0" w:rsidP="00B915B0">
            <w:pPr>
              <w:pStyle w:val="KeinLeerraum"/>
              <w:numPr>
                <w:ilvl w:val="0"/>
                <w:numId w:val="1"/>
              </w:numPr>
              <w:rPr>
                <w:lang w:val="en-GB"/>
              </w:rPr>
            </w:pPr>
            <w:r>
              <w:rPr>
                <w:lang w:val="en-GB"/>
              </w:rPr>
              <w:t xml:space="preserve">Number of HH in substandard accommodation </w:t>
            </w:r>
          </w:p>
          <w:p w:rsidR="00EA5F23" w:rsidRDefault="001B2FB1" w:rsidP="00B915B0">
            <w:pPr>
              <w:pStyle w:val="Listenabsatz"/>
              <w:numPr>
                <w:ilvl w:val="0"/>
                <w:numId w:val="1"/>
              </w:numPr>
              <w:rPr>
                <w:lang w:val="en-GB"/>
              </w:rPr>
            </w:pPr>
            <w:r>
              <w:rPr>
                <w:lang w:val="en-GB"/>
              </w:rPr>
              <w:t>U</w:t>
            </w:r>
            <w:r w:rsidR="00B915B0" w:rsidRPr="005E21BE">
              <w:rPr>
                <w:lang w:val="en-GB"/>
              </w:rPr>
              <w:t>nderstand the attitudes, behaviours, priorities and purchasing power of the affected population</w:t>
            </w:r>
            <w:r w:rsidR="00B915B0">
              <w:rPr>
                <w:lang w:val="en-GB"/>
              </w:rPr>
              <w:t>, and host community</w:t>
            </w:r>
          </w:p>
          <w:p w:rsidR="00E40302" w:rsidRDefault="0083615F" w:rsidP="000852D2">
            <w:pPr>
              <w:pStyle w:val="Listenabsatz"/>
              <w:ind w:left="0"/>
              <w:rPr>
                <w:lang w:val="en-GB"/>
              </w:rPr>
            </w:pPr>
            <w:hyperlink r:id="rId9" w:history="1">
              <w:r w:rsidR="000852D2" w:rsidRPr="00AB3652">
                <w:rPr>
                  <w:rStyle w:val="Hyperlink"/>
                  <w:lang w:val="en-GB"/>
                </w:rPr>
                <w:t>https://emergency.unhcr.org/entry/89120/needs-assessment-for-cash-based-interventions</w:t>
              </w:r>
            </w:hyperlink>
            <w:r w:rsidR="000852D2">
              <w:rPr>
                <w:lang w:val="en-GB"/>
              </w:rPr>
              <w:t xml:space="preserve"> </w:t>
            </w:r>
          </w:p>
          <w:p w:rsidR="00CB4D43" w:rsidRDefault="0083615F" w:rsidP="000852D2">
            <w:pPr>
              <w:pStyle w:val="Listenabsatz"/>
              <w:ind w:left="0"/>
              <w:rPr>
                <w:rStyle w:val="Hyperlink"/>
                <w:lang w:val="en-GB"/>
              </w:rPr>
            </w:pPr>
            <w:hyperlink r:id="rId10" w:history="1">
              <w:r w:rsidR="00CB4D43" w:rsidRPr="00AB3652">
                <w:rPr>
                  <w:rStyle w:val="Hyperlink"/>
                  <w:lang w:val="en-GB"/>
                </w:rPr>
                <w:t>https://cms.emergency.unhcr.org/documents/11982/50204/UNHCR%2C+NARE+Full+Version/1b59a63a-ade8-4129-a4fc-30bc0cddaf89</w:t>
              </w:r>
            </w:hyperlink>
          </w:p>
          <w:p w:rsidR="0006164D" w:rsidRPr="001551C8" w:rsidRDefault="0083615F" w:rsidP="0006164D">
            <w:pPr>
              <w:pStyle w:val="KeinLeerraum"/>
              <w:rPr>
                <w:lang w:val="en-GB"/>
              </w:rPr>
            </w:pPr>
            <w:hyperlink r:id="rId11" w:history="1">
              <w:r w:rsidR="0006164D" w:rsidRPr="00C13272">
                <w:rPr>
                  <w:rStyle w:val="Hyperlink"/>
                </w:rPr>
                <w:t>https://emergency.unhcr.org/entry/95755/shelter-needs-assessment</w:t>
              </w:r>
            </w:hyperlink>
            <w:r w:rsidR="0006164D">
              <w:t xml:space="preserve"> </w:t>
            </w:r>
          </w:p>
        </w:tc>
        <w:tc>
          <w:tcPr>
            <w:tcW w:w="706" w:type="dxa"/>
          </w:tcPr>
          <w:p w:rsidR="004E59FC" w:rsidRPr="005E21BE" w:rsidRDefault="004E59FC" w:rsidP="004E59FC">
            <w:pPr>
              <w:jc w:val="center"/>
              <w:rPr>
                <w:lang w:val="en-GB"/>
              </w:rPr>
            </w:pPr>
          </w:p>
          <w:p w:rsidR="004E59FC" w:rsidRPr="005E21BE" w:rsidRDefault="004E59FC" w:rsidP="004E59FC">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EA5F23" w:rsidRPr="001551C8" w:rsidRDefault="00EA5F23">
            <w:pPr>
              <w:rPr>
                <w:lang w:val="en-GB"/>
              </w:rPr>
            </w:pPr>
          </w:p>
        </w:tc>
        <w:tc>
          <w:tcPr>
            <w:tcW w:w="2544" w:type="dxa"/>
          </w:tcPr>
          <w:p w:rsidR="00EA5F23" w:rsidRPr="001551C8" w:rsidRDefault="00EA5F23">
            <w:pPr>
              <w:rPr>
                <w:lang w:val="en-GB"/>
              </w:rPr>
            </w:pPr>
          </w:p>
        </w:tc>
      </w:tr>
      <w:tr w:rsidR="00EA5F23" w:rsidRPr="00C15E5A" w:rsidTr="00C77C56">
        <w:tc>
          <w:tcPr>
            <w:tcW w:w="1615" w:type="dxa"/>
            <w:vMerge/>
          </w:tcPr>
          <w:p w:rsidR="00EA5F23" w:rsidRPr="001551C8" w:rsidRDefault="00EA5F23">
            <w:pPr>
              <w:rPr>
                <w:lang w:val="en-GB"/>
              </w:rPr>
            </w:pPr>
          </w:p>
        </w:tc>
        <w:tc>
          <w:tcPr>
            <w:tcW w:w="10303" w:type="dxa"/>
          </w:tcPr>
          <w:p w:rsidR="00B915B0" w:rsidRDefault="00B915B0" w:rsidP="00060694">
            <w:pPr>
              <w:pStyle w:val="KeinLeerraum"/>
              <w:numPr>
                <w:ilvl w:val="0"/>
                <w:numId w:val="8"/>
              </w:numPr>
              <w:rPr>
                <w:lang w:val="en-GB"/>
              </w:rPr>
            </w:pPr>
            <w:r>
              <w:rPr>
                <w:lang w:val="en-GB"/>
              </w:rPr>
              <w:t>Find out what type of additional support is needed besides cash for rental subsidy</w:t>
            </w:r>
          </w:p>
          <w:p w:rsidR="00B915B0" w:rsidRDefault="001B2FB1" w:rsidP="00060694">
            <w:pPr>
              <w:pStyle w:val="KeinLeerraum"/>
              <w:numPr>
                <w:ilvl w:val="0"/>
                <w:numId w:val="9"/>
              </w:numPr>
              <w:rPr>
                <w:lang w:val="en-GB"/>
              </w:rPr>
            </w:pPr>
            <w:r>
              <w:rPr>
                <w:lang w:val="en-GB"/>
              </w:rPr>
              <w:t>L</w:t>
            </w:r>
            <w:r w:rsidR="00B915B0">
              <w:rPr>
                <w:lang w:val="en-GB"/>
              </w:rPr>
              <w:t>egal advice / communication with landlords</w:t>
            </w:r>
          </w:p>
          <w:p w:rsidR="00B915B0" w:rsidRDefault="001B2FB1" w:rsidP="00060694">
            <w:pPr>
              <w:pStyle w:val="KeinLeerraum"/>
              <w:numPr>
                <w:ilvl w:val="0"/>
                <w:numId w:val="9"/>
              </w:numPr>
              <w:rPr>
                <w:lang w:val="en-GB"/>
              </w:rPr>
            </w:pPr>
            <w:r>
              <w:rPr>
                <w:lang w:val="en-GB"/>
              </w:rPr>
              <w:t>I</w:t>
            </w:r>
            <w:r w:rsidR="00B915B0">
              <w:rPr>
                <w:lang w:val="en-GB"/>
              </w:rPr>
              <w:t>s tripartite agreement necessary?</w:t>
            </w:r>
          </w:p>
          <w:p w:rsidR="00EA5F23" w:rsidRPr="00B915B0" w:rsidRDefault="001B2FB1" w:rsidP="00060694">
            <w:pPr>
              <w:pStyle w:val="Listenabsatz"/>
              <w:numPr>
                <w:ilvl w:val="0"/>
                <w:numId w:val="9"/>
              </w:numPr>
              <w:rPr>
                <w:lang w:val="en-GB"/>
              </w:rPr>
            </w:pPr>
            <w:r>
              <w:rPr>
                <w:lang w:val="en-GB"/>
              </w:rPr>
              <w:t>I</w:t>
            </w:r>
            <w:r w:rsidR="00B915B0" w:rsidRPr="00B915B0">
              <w:rPr>
                <w:lang w:val="en-GB"/>
              </w:rPr>
              <w:t>ncome opportunities</w:t>
            </w:r>
          </w:p>
        </w:tc>
        <w:tc>
          <w:tcPr>
            <w:tcW w:w="706" w:type="dxa"/>
          </w:tcPr>
          <w:p w:rsidR="004E59FC" w:rsidRPr="005E21BE" w:rsidRDefault="004E59FC" w:rsidP="004E59FC">
            <w:pPr>
              <w:jc w:val="center"/>
              <w:rPr>
                <w:lang w:val="en-GB"/>
              </w:rPr>
            </w:pPr>
          </w:p>
          <w:p w:rsidR="004E59FC" w:rsidRPr="005E21BE" w:rsidRDefault="004E59FC" w:rsidP="004E59FC">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EA5F23" w:rsidRPr="001551C8" w:rsidRDefault="00EA5F23">
            <w:pPr>
              <w:rPr>
                <w:lang w:val="en-GB"/>
              </w:rPr>
            </w:pPr>
          </w:p>
        </w:tc>
        <w:tc>
          <w:tcPr>
            <w:tcW w:w="2544" w:type="dxa"/>
          </w:tcPr>
          <w:p w:rsidR="00EA5F23" w:rsidRPr="001551C8" w:rsidRDefault="00EA5F23">
            <w:pPr>
              <w:rPr>
                <w:lang w:val="en-GB"/>
              </w:rPr>
            </w:pPr>
          </w:p>
        </w:tc>
      </w:tr>
      <w:tr w:rsidR="00EA5F23" w:rsidRPr="005C2175" w:rsidTr="00C77C56">
        <w:tc>
          <w:tcPr>
            <w:tcW w:w="1615" w:type="dxa"/>
            <w:vMerge/>
          </w:tcPr>
          <w:p w:rsidR="00EA5F23" w:rsidRPr="001551C8" w:rsidRDefault="00EA5F23">
            <w:pPr>
              <w:rPr>
                <w:lang w:val="en-GB"/>
              </w:rPr>
            </w:pPr>
          </w:p>
        </w:tc>
        <w:tc>
          <w:tcPr>
            <w:tcW w:w="10303" w:type="dxa"/>
          </w:tcPr>
          <w:p w:rsidR="00B915B0" w:rsidRPr="005E21BE" w:rsidRDefault="00AC4CA3" w:rsidP="00060694">
            <w:pPr>
              <w:pStyle w:val="KeinLeerraum"/>
              <w:numPr>
                <w:ilvl w:val="0"/>
                <w:numId w:val="8"/>
              </w:numPr>
              <w:rPr>
                <w:lang w:val="en-GB"/>
              </w:rPr>
            </w:pPr>
            <w:r>
              <w:rPr>
                <w:lang w:val="en-GB"/>
              </w:rPr>
              <w:t>E</w:t>
            </w:r>
            <w:r w:rsidR="00B915B0" w:rsidRPr="005E21BE">
              <w:rPr>
                <w:lang w:val="en-GB"/>
              </w:rPr>
              <w:t xml:space="preserve">ngage with stakeholders and community, if </w:t>
            </w:r>
            <w:r w:rsidR="00B915B0">
              <w:rPr>
                <w:lang w:val="en-GB"/>
              </w:rPr>
              <w:t>rental subsidy for</w:t>
            </w:r>
            <w:r w:rsidR="00B915B0" w:rsidRPr="005E21BE">
              <w:rPr>
                <w:lang w:val="en-GB"/>
              </w:rPr>
              <w:t xml:space="preserve"> </w:t>
            </w:r>
            <w:r w:rsidR="00B915B0">
              <w:rPr>
                <w:lang w:val="en-GB"/>
              </w:rPr>
              <w:t xml:space="preserve">the displaced population </w:t>
            </w:r>
            <w:r w:rsidR="00B915B0" w:rsidRPr="005E21BE">
              <w:rPr>
                <w:lang w:val="en-GB"/>
              </w:rPr>
              <w:t xml:space="preserve">is acceptable in the </w:t>
            </w:r>
            <w:r w:rsidR="00B915B0" w:rsidRPr="005E21BE">
              <w:rPr>
                <w:lang w:val="en-GB"/>
              </w:rPr>
              <w:lastRenderedPageBreak/>
              <w:t>context and appropriate to meet the identified needs</w:t>
            </w:r>
          </w:p>
          <w:p w:rsidR="00B915B0" w:rsidRPr="005E21BE" w:rsidRDefault="00AC4CA3" w:rsidP="00060694">
            <w:pPr>
              <w:pStyle w:val="KeinLeerraum"/>
              <w:numPr>
                <w:ilvl w:val="0"/>
                <w:numId w:val="10"/>
              </w:numPr>
              <w:rPr>
                <w:lang w:val="en-GB"/>
              </w:rPr>
            </w:pPr>
            <w:r>
              <w:rPr>
                <w:lang w:val="en-GB"/>
              </w:rPr>
              <w:t>W</w:t>
            </w:r>
            <w:r w:rsidR="00B915B0">
              <w:rPr>
                <w:lang w:val="en-GB"/>
              </w:rPr>
              <w:t>hat are the coping strategies of the local vulnerable population?</w:t>
            </w:r>
          </w:p>
          <w:p w:rsidR="00EA5F23" w:rsidRPr="00AF2A2A" w:rsidRDefault="00B915B0" w:rsidP="00060694">
            <w:pPr>
              <w:pStyle w:val="Listenabsatz"/>
              <w:numPr>
                <w:ilvl w:val="0"/>
                <w:numId w:val="10"/>
              </w:numPr>
              <w:rPr>
                <w:lang w:val="en-GB"/>
              </w:rPr>
            </w:pPr>
            <w:r w:rsidRPr="0058650B">
              <w:rPr>
                <w:lang w:val="en-GB"/>
              </w:rPr>
              <w:t>Is there a social welfare system in place, which includes rental support and may be applicable for PoC?</w:t>
            </w:r>
          </w:p>
        </w:tc>
        <w:tc>
          <w:tcPr>
            <w:tcW w:w="706" w:type="dxa"/>
          </w:tcPr>
          <w:p w:rsidR="004E59FC" w:rsidRPr="005E21BE" w:rsidRDefault="004E59FC" w:rsidP="004E59FC">
            <w:pPr>
              <w:jc w:val="center"/>
              <w:rPr>
                <w:lang w:val="en-GB"/>
              </w:rPr>
            </w:pPr>
          </w:p>
          <w:p w:rsidR="004E59FC" w:rsidRPr="005E21BE" w:rsidRDefault="004E59FC" w:rsidP="004E59FC">
            <w:pPr>
              <w:jc w:val="center"/>
              <w:rPr>
                <w:lang w:val="en-GB"/>
              </w:rPr>
            </w:pPr>
            <w:r w:rsidRPr="005E21BE">
              <w:rPr>
                <w:lang w:val="en-GB"/>
              </w:rPr>
              <w:lastRenderedPageBreak/>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EA5F23" w:rsidRPr="001551C8" w:rsidRDefault="00EA5F23">
            <w:pPr>
              <w:rPr>
                <w:lang w:val="en-GB"/>
              </w:rPr>
            </w:pPr>
          </w:p>
        </w:tc>
        <w:tc>
          <w:tcPr>
            <w:tcW w:w="2544" w:type="dxa"/>
          </w:tcPr>
          <w:p w:rsidR="00EA5F23" w:rsidRPr="001551C8" w:rsidRDefault="00CB4D43">
            <w:pPr>
              <w:rPr>
                <w:lang w:val="en-GB"/>
              </w:rPr>
            </w:pPr>
            <w:r>
              <w:rPr>
                <w:lang w:val="en-GB"/>
              </w:rPr>
              <w:lastRenderedPageBreak/>
              <w:t xml:space="preserve">Risk of failure to identify </w:t>
            </w:r>
            <w:r>
              <w:rPr>
                <w:lang w:val="en-GB"/>
              </w:rPr>
              <w:lastRenderedPageBreak/>
              <w:t>and address external barriers to implementation</w:t>
            </w:r>
          </w:p>
        </w:tc>
      </w:tr>
      <w:tr w:rsidR="00AC4CA3" w:rsidRPr="005C2175" w:rsidTr="00C77C56">
        <w:tc>
          <w:tcPr>
            <w:tcW w:w="1615" w:type="dxa"/>
            <w:vMerge w:val="restart"/>
          </w:tcPr>
          <w:p w:rsidR="00AC4CA3" w:rsidRPr="00D54495" w:rsidRDefault="00AC4CA3">
            <w:pPr>
              <w:rPr>
                <w:b/>
                <w:sz w:val="24"/>
                <w:szCs w:val="24"/>
                <w:lang w:val="en-GB"/>
              </w:rPr>
            </w:pPr>
            <w:r w:rsidRPr="00D54495">
              <w:rPr>
                <w:b/>
                <w:sz w:val="24"/>
                <w:szCs w:val="24"/>
                <w:lang w:val="en-GB"/>
              </w:rPr>
              <w:lastRenderedPageBreak/>
              <w:t>Market and capacity analysis</w:t>
            </w:r>
          </w:p>
        </w:tc>
        <w:tc>
          <w:tcPr>
            <w:tcW w:w="10303" w:type="dxa"/>
          </w:tcPr>
          <w:p w:rsidR="00AC4CA3" w:rsidRPr="005E21BE" w:rsidRDefault="00AC4CA3" w:rsidP="00060694">
            <w:pPr>
              <w:numPr>
                <w:ilvl w:val="0"/>
                <w:numId w:val="11"/>
              </w:numPr>
              <w:rPr>
                <w:lang w:val="en-GB"/>
              </w:rPr>
            </w:pPr>
            <w:r>
              <w:rPr>
                <w:lang w:val="en-GB"/>
              </w:rPr>
              <w:t>Assess the rental market</w:t>
            </w:r>
          </w:p>
          <w:p w:rsidR="00AC4CA3" w:rsidRDefault="002B718E" w:rsidP="00060694">
            <w:pPr>
              <w:numPr>
                <w:ilvl w:val="0"/>
                <w:numId w:val="13"/>
              </w:numPr>
              <w:rPr>
                <w:lang w:val="en-GB"/>
              </w:rPr>
            </w:pPr>
            <w:r>
              <w:rPr>
                <w:lang w:val="en-GB"/>
              </w:rPr>
              <w:t xml:space="preserve">Find out, if </w:t>
            </w:r>
            <w:r w:rsidR="00AC4CA3">
              <w:rPr>
                <w:lang w:val="en-GB"/>
              </w:rPr>
              <w:t>the rental market</w:t>
            </w:r>
            <w:r w:rsidR="00AC4CA3" w:rsidRPr="005E21BE">
              <w:rPr>
                <w:lang w:val="en-GB"/>
              </w:rPr>
              <w:t xml:space="preserve"> </w:t>
            </w:r>
            <w:r>
              <w:rPr>
                <w:lang w:val="en-GB"/>
              </w:rPr>
              <w:t xml:space="preserve">is </w:t>
            </w:r>
            <w:r w:rsidR="00AC4CA3" w:rsidRPr="005E21BE">
              <w:rPr>
                <w:lang w:val="en-GB"/>
              </w:rPr>
              <w:t xml:space="preserve">easily accessible to </w:t>
            </w:r>
            <w:r w:rsidR="00AC4CA3">
              <w:rPr>
                <w:lang w:val="en-GB"/>
              </w:rPr>
              <w:t xml:space="preserve">the </w:t>
            </w:r>
            <w:r w:rsidR="00AC4CA3" w:rsidRPr="005E21BE">
              <w:rPr>
                <w:lang w:val="en-GB"/>
              </w:rPr>
              <w:t>affected population</w:t>
            </w:r>
            <w:r>
              <w:rPr>
                <w:lang w:val="en-GB"/>
              </w:rPr>
              <w:t>.</w:t>
            </w:r>
            <w:r w:rsidR="00AC4CA3">
              <w:rPr>
                <w:lang w:val="en-GB"/>
              </w:rPr>
              <w:t xml:space="preserve"> Or do they need support, due to language barriers or discrimination?</w:t>
            </w:r>
          </w:p>
          <w:p w:rsidR="00AC4CA3" w:rsidRDefault="00AC4CA3" w:rsidP="00060694">
            <w:pPr>
              <w:numPr>
                <w:ilvl w:val="0"/>
                <w:numId w:val="13"/>
              </w:numPr>
              <w:rPr>
                <w:lang w:val="en-GB"/>
              </w:rPr>
            </w:pPr>
            <w:r>
              <w:rPr>
                <w:lang w:val="en-GB"/>
              </w:rPr>
              <w:t xml:space="preserve">What kind of rental accommodation is available? (apartments, hotels, </w:t>
            </w:r>
            <w:r w:rsidRPr="00315B2A">
              <w:rPr>
                <w:lang w:val="en-GB"/>
              </w:rPr>
              <w:t>others</w:t>
            </w:r>
            <w:r>
              <w:rPr>
                <w:lang w:val="en-GB"/>
              </w:rPr>
              <w:t xml:space="preserve">) </w:t>
            </w:r>
            <w:r w:rsidRPr="00604DC0">
              <w:rPr>
                <w:lang w:val="en-GB"/>
              </w:rPr>
              <w:t>And who is the owner?</w:t>
            </w:r>
          </w:p>
          <w:p w:rsidR="00AC4CA3" w:rsidRPr="005E21BE" w:rsidRDefault="00AC4CA3" w:rsidP="00060694">
            <w:pPr>
              <w:numPr>
                <w:ilvl w:val="0"/>
                <w:numId w:val="13"/>
              </w:numPr>
              <w:rPr>
                <w:lang w:val="en-GB"/>
              </w:rPr>
            </w:pPr>
            <w:r>
              <w:rPr>
                <w:lang w:val="en-GB"/>
              </w:rPr>
              <w:t>Is there capacity for expansion?</w:t>
            </w:r>
          </w:p>
          <w:p w:rsidR="00AC4CA3" w:rsidRDefault="00AC4CA3" w:rsidP="00060694">
            <w:pPr>
              <w:pStyle w:val="KeinLeerraum"/>
              <w:numPr>
                <w:ilvl w:val="0"/>
                <w:numId w:val="12"/>
              </w:numPr>
              <w:rPr>
                <w:lang w:val="en-GB"/>
              </w:rPr>
            </w:pPr>
            <w:r>
              <w:rPr>
                <w:lang w:val="en-GB"/>
              </w:rPr>
              <w:t>What is the average price index of rental accommodation of the envisaged standard? Cost of utilities?</w:t>
            </w:r>
          </w:p>
          <w:p w:rsidR="00AC4CA3" w:rsidRDefault="00AC4CA3" w:rsidP="00060694">
            <w:pPr>
              <w:pStyle w:val="KeinLeerraum"/>
              <w:numPr>
                <w:ilvl w:val="0"/>
                <w:numId w:val="12"/>
              </w:numPr>
              <w:rPr>
                <w:lang w:val="en-GB"/>
              </w:rPr>
            </w:pPr>
            <w:r>
              <w:rPr>
                <w:lang w:val="en-GB"/>
              </w:rPr>
              <w:t>Does rent have to be paid up-front for several months?</w:t>
            </w:r>
          </w:p>
          <w:p w:rsidR="00AC4CA3" w:rsidRPr="00016494" w:rsidRDefault="00AC4CA3" w:rsidP="00060694">
            <w:pPr>
              <w:pStyle w:val="KeinLeerraum"/>
              <w:numPr>
                <w:ilvl w:val="0"/>
                <w:numId w:val="12"/>
              </w:numPr>
              <w:rPr>
                <w:lang w:val="en-GB"/>
              </w:rPr>
            </w:pPr>
            <w:r>
              <w:rPr>
                <w:lang w:val="en-GB"/>
              </w:rPr>
              <w:t>I</w:t>
            </w:r>
            <w:r w:rsidRPr="005E21BE">
              <w:rPr>
                <w:lang w:val="en-GB"/>
              </w:rPr>
              <w:t xml:space="preserve">s there a risk of inflation </w:t>
            </w:r>
            <w:r>
              <w:rPr>
                <w:lang w:val="en-GB"/>
              </w:rPr>
              <w:t>of rental prices</w:t>
            </w:r>
            <w:r w:rsidRPr="005E21BE">
              <w:rPr>
                <w:lang w:val="en-GB"/>
              </w:rPr>
              <w:t>?</w:t>
            </w:r>
            <w:r>
              <w:rPr>
                <w:lang w:val="en-GB"/>
              </w:rPr>
              <w:t xml:space="preserve"> How can that be mitigated?</w:t>
            </w:r>
          </w:p>
          <w:p w:rsidR="00AC4CA3" w:rsidRDefault="00AC4CA3" w:rsidP="00060694">
            <w:pPr>
              <w:pStyle w:val="Listenabsatz"/>
              <w:numPr>
                <w:ilvl w:val="0"/>
                <w:numId w:val="12"/>
              </w:numPr>
              <w:rPr>
                <w:lang w:val="en-GB"/>
              </w:rPr>
            </w:pPr>
            <w:r w:rsidRPr="00622E2D">
              <w:rPr>
                <w:lang w:val="en-GB"/>
              </w:rPr>
              <w:t>Is upgrading of substandard accommodations or unfinished houses an option, to increase the quantity of rental spaces? (if yes, refer to ‘cash for upgrading of existing housing stock’)</w:t>
            </w:r>
          </w:p>
          <w:p w:rsidR="00D961E8" w:rsidRDefault="0083615F" w:rsidP="00D961E8">
            <w:pPr>
              <w:pStyle w:val="Listenabsatz"/>
              <w:ind w:left="0"/>
              <w:rPr>
                <w:rStyle w:val="Hyperlink"/>
                <w:lang w:val="en-GB"/>
              </w:rPr>
            </w:pPr>
            <w:hyperlink r:id="rId12" w:history="1">
              <w:r w:rsidR="00395D4D" w:rsidRPr="002B0A55">
                <w:rPr>
                  <w:rStyle w:val="Hyperlink"/>
                  <w:lang w:val="en-GB"/>
                </w:rPr>
                <w:t>http://www.unhcr.org/protection/operations/593e856e7/multi-sector-market-assessment-companion-guide-toolkit.html</w:t>
              </w:r>
            </w:hyperlink>
          </w:p>
          <w:p w:rsidR="00DF0893" w:rsidRPr="00622E2D" w:rsidRDefault="0083615F" w:rsidP="00D961E8">
            <w:pPr>
              <w:pStyle w:val="Listenabsatz"/>
              <w:ind w:left="0"/>
              <w:rPr>
                <w:lang w:val="en-GB"/>
              </w:rPr>
            </w:pPr>
            <w:hyperlink r:id="rId13" w:history="1">
              <w:r w:rsidR="00DF0893" w:rsidRPr="00266F88">
                <w:rPr>
                  <w:rStyle w:val="Hyperlink"/>
                  <w:lang w:val="en-GB"/>
                </w:rPr>
                <w:t>http://www.unhcr.org/cbi/Rental-Tools.zip</w:t>
              </w:r>
            </w:hyperlink>
            <w:r w:rsidR="00DF0893">
              <w:rPr>
                <w:lang w:val="en-GB"/>
              </w:rPr>
              <w:t xml:space="preserve"> </w:t>
            </w:r>
          </w:p>
        </w:tc>
        <w:tc>
          <w:tcPr>
            <w:tcW w:w="706" w:type="dxa"/>
          </w:tcPr>
          <w:p w:rsidR="00AC4CA3" w:rsidRPr="00E6702A" w:rsidRDefault="00AC4CA3" w:rsidP="004E59FC">
            <w:pPr>
              <w:jc w:val="center"/>
              <w:rPr>
                <w:lang w:val="en-GB"/>
              </w:rPr>
            </w:pPr>
          </w:p>
          <w:p w:rsidR="00AC4CA3" w:rsidRPr="005E21BE" w:rsidRDefault="00AC4CA3" w:rsidP="004E59FC">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AC4CA3" w:rsidRPr="001551C8" w:rsidRDefault="00AC4CA3">
            <w:pPr>
              <w:rPr>
                <w:lang w:val="en-GB"/>
              </w:rPr>
            </w:pPr>
          </w:p>
        </w:tc>
        <w:tc>
          <w:tcPr>
            <w:tcW w:w="2544" w:type="dxa"/>
          </w:tcPr>
          <w:p w:rsidR="00AC4CA3" w:rsidRPr="001551C8" w:rsidRDefault="00CB4D43">
            <w:pPr>
              <w:rPr>
                <w:lang w:val="en-GB"/>
              </w:rPr>
            </w:pPr>
            <w:r>
              <w:rPr>
                <w:lang w:val="en-GB"/>
              </w:rPr>
              <w:t>Risk of inefficient spending of funds</w:t>
            </w:r>
          </w:p>
        </w:tc>
      </w:tr>
      <w:tr w:rsidR="00AC4CA3" w:rsidRPr="005C2175" w:rsidTr="00C77C56">
        <w:tc>
          <w:tcPr>
            <w:tcW w:w="1615" w:type="dxa"/>
            <w:vMerge/>
          </w:tcPr>
          <w:p w:rsidR="00AC4CA3" w:rsidRPr="001551C8" w:rsidRDefault="00AC4CA3">
            <w:pPr>
              <w:rPr>
                <w:lang w:val="en-GB"/>
              </w:rPr>
            </w:pPr>
          </w:p>
        </w:tc>
        <w:tc>
          <w:tcPr>
            <w:tcW w:w="10303" w:type="dxa"/>
          </w:tcPr>
          <w:p w:rsidR="00AC4CA3" w:rsidRDefault="00AC4CA3" w:rsidP="00060694">
            <w:pPr>
              <w:pStyle w:val="Listenabsatz"/>
              <w:numPr>
                <w:ilvl w:val="0"/>
                <w:numId w:val="11"/>
              </w:numPr>
              <w:rPr>
                <w:lang w:val="en-GB"/>
              </w:rPr>
            </w:pPr>
            <w:r>
              <w:rPr>
                <w:lang w:val="en-GB"/>
              </w:rPr>
              <w:t>Assess</w:t>
            </w:r>
            <w:r w:rsidRPr="005E21BE">
              <w:rPr>
                <w:lang w:val="en-GB"/>
              </w:rPr>
              <w:t xml:space="preserve"> </w:t>
            </w:r>
            <w:r>
              <w:rPr>
                <w:lang w:val="en-GB"/>
              </w:rPr>
              <w:t>the legal situation</w:t>
            </w:r>
          </w:p>
          <w:p w:rsidR="00AC4CA3" w:rsidRDefault="00AC4CA3" w:rsidP="00060694">
            <w:pPr>
              <w:pStyle w:val="KeinLeerraum"/>
              <w:numPr>
                <w:ilvl w:val="0"/>
                <w:numId w:val="12"/>
              </w:numPr>
              <w:rPr>
                <w:lang w:val="en-GB"/>
              </w:rPr>
            </w:pPr>
            <w:r>
              <w:rPr>
                <w:lang w:val="en-GB"/>
              </w:rPr>
              <w:t>What are the local rental regulations? Rights and obligations of the tenants?</w:t>
            </w:r>
          </w:p>
          <w:p w:rsidR="00AC4CA3" w:rsidRDefault="00AC4CA3" w:rsidP="00060694">
            <w:pPr>
              <w:pStyle w:val="KeinLeerraum"/>
              <w:numPr>
                <w:ilvl w:val="0"/>
                <w:numId w:val="12"/>
              </w:numPr>
              <w:rPr>
                <w:lang w:val="en-GB"/>
              </w:rPr>
            </w:pPr>
            <w:r>
              <w:rPr>
                <w:lang w:val="en-GB"/>
              </w:rPr>
              <w:t>Security of tenure, risk of forced eviction</w:t>
            </w:r>
          </w:p>
          <w:p w:rsidR="00AC4CA3" w:rsidRPr="00622E2D" w:rsidRDefault="00AC4CA3" w:rsidP="00060694">
            <w:pPr>
              <w:pStyle w:val="Listenabsatz"/>
              <w:numPr>
                <w:ilvl w:val="0"/>
                <w:numId w:val="12"/>
              </w:numPr>
              <w:rPr>
                <w:lang w:val="en-GB"/>
              </w:rPr>
            </w:pPr>
            <w:r w:rsidRPr="00622E2D">
              <w:rPr>
                <w:lang w:val="en-GB"/>
              </w:rPr>
              <w:t>Is legal advice to PoC necessary? ICLA, HLP</w:t>
            </w:r>
          </w:p>
        </w:tc>
        <w:tc>
          <w:tcPr>
            <w:tcW w:w="706" w:type="dxa"/>
          </w:tcPr>
          <w:p w:rsidR="00AC4CA3" w:rsidRPr="005E21BE" w:rsidRDefault="00AC4CA3" w:rsidP="004E59FC">
            <w:pPr>
              <w:jc w:val="center"/>
              <w:rPr>
                <w:lang w:val="en-GB"/>
              </w:rPr>
            </w:pPr>
          </w:p>
          <w:p w:rsidR="00AC4CA3" w:rsidRPr="005E21BE" w:rsidRDefault="00AC4CA3" w:rsidP="004E59FC">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AC4CA3" w:rsidRPr="001551C8" w:rsidRDefault="00AC4CA3">
            <w:pPr>
              <w:rPr>
                <w:lang w:val="en-GB"/>
              </w:rPr>
            </w:pPr>
          </w:p>
        </w:tc>
        <w:tc>
          <w:tcPr>
            <w:tcW w:w="2544" w:type="dxa"/>
          </w:tcPr>
          <w:p w:rsidR="00AC4CA3" w:rsidRPr="001551C8" w:rsidRDefault="00E91A2B">
            <w:pPr>
              <w:rPr>
                <w:lang w:val="en-GB"/>
              </w:rPr>
            </w:pPr>
            <w:r>
              <w:rPr>
                <w:lang w:val="en-GB"/>
              </w:rPr>
              <w:t>Risk of inconsistency with national law</w:t>
            </w:r>
          </w:p>
        </w:tc>
      </w:tr>
      <w:tr w:rsidR="00AC4CA3" w:rsidRPr="005479A7" w:rsidTr="00C77C56">
        <w:tc>
          <w:tcPr>
            <w:tcW w:w="1615" w:type="dxa"/>
            <w:vMerge/>
          </w:tcPr>
          <w:p w:rsidR="00AC4CA3" w:rsidRPr="001551C8" w:rsidRDefault="00AC4CA3">
            <w:pPr>
              <w:rPr>
                <w:lang w:val="en-GB"/>
              </w:rPr>
            </w:pPr>
          </w:p>
        </w:tc>
        <w:tc>
          <w:tcPr>
            <w:tcW w:w="10303" w:type="dxa"/>
          </w:tcPr>
          <w:p w:rsidR="00AC4CA3" w:rsidRPr="00315B2A" w:rsidRDefault="00AC4CA3" w:rsidP="00060694">
            <w:pPr>
              <w:pStyle w:val="Listenabsatz"/>
              <w:numPr>
                <w:ilvl w:val="0"/>
                <w:numId w:val="11"/>
              </w:numPr>
              <w:rPr>
                <w:lang w:val="en-GB"/>
              </w:rPr>
            </w:pPr>
            <w:r w:rsidRPr="00315B2A">
              <w:rPr>
                <w:lang w:val="en-GB"/>
              </w:rPr>
              <w:t>Assess livelihood opportunities</w:t>
            </w:r>
          </w:p>
          <w:p w:rsidR="00AC4CA3" w:rsidRPr="00622E2D" w:rsidRDefault="00AC4CA3" w:rsidP="00060694">
            <w:pPr>
              <w:pStyle w:val="Listenabsatz"/>
              <w:numPr>
                <w:ilvl w:val="0"/>
                <w:numId w:val="14"/>
              </w:numPr>
              <w:rPr>
                <w:lang w:val="en-GB"/>
              </w:rPr>
            </w:pPr>
            <w:r w:rsidRPr="00622E2D">
              <w:rPr>
                <w:lang w:val="en-GB"/>
              </w:rPr>
              <w:t>Cooperate with livelihood sector</w:t>
            </w:r>
          </w:p>
        </w:tc>
        <w:tc>
          <w:tcPr>
            <w:tcW w:w="706" w:type="dxa"/>
          </w:tcPr>
          <w:p w:rsidR="00AC4CA3" w:rsidRPr="005E21BE" w:rsidRDefault="00AC4CA3" w:rsidP="004E59FC">
            <w:pPr>
              <w:jc w:val="center"/>
              <w:rPr>
                <w:lang w:val="en-GB"/>
              </w:rPr>
            </w:pPr>
          </w:p>
          <w:p w:rsidR="00AC4CA3" w:rsidRPr="005E21BE" w:rsidRDefault="00AC4CA3" w:rsidP="004E59FC">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AC4CA3" w:rsidRPr="001551C8" w:rsidRDefault="00AC4CA3">
            <w:pPr>
              <w:rPr>
                <w:lang w:val="en-GB"/>
              </w:rPr>
            </w:pPr>
          </w:p>
        </w:tc>
        <w:tc>
          <w:tcPr>
            <w:tcW w:w="2544" w:type="dxa"/>
          </w:tcPr>
          <w:p w:rsidR="00AC4CA3" w:rsidRPr="001551C8" w:rsidRDefault="00AC4CA3">
            <w:pPr>
              <w:rPr>
                <w:lang w:val="en-GB"/>
              </w:rPr>
            </w:pPr>
          </w:p>
        </w:tc>
      </w:tr>
      <w:tr w:rsidR="00AC4CA3" w:rsidRPr="00622E2D" w:rsidTr="00C77C56">
        <w:tc>
          <w:tcPr>
            <w:tcW w:w="1615" w:type="dxa"/>
            <w:vMerge/>
          </w:tcPr>
          <w:p w:rsidR="00AC4CA3" w:rsidRPr="001551C8" w:rsidRDefault="00AC4CA3">
            <w:pPr>
              <w:rPr>
                <w:lang w:val="en-GB"/>
              </w:rPr>
            </w:pPr>
          </w:p>
        </w:tc>
        <w:tc>
          <w:tcPr>
            <w:tcW w:w="10303" w:type="dxa"/>
          </w:tcPr>
          <w:p w:rsidR="00AC4CA3" w:rsidRPr="00ED478A" w:rsidRDefault="00AC4CA3" w:rsidP="00ED478A">
            <w:pPr>
              <w:pStyle w:val="Listenabsatz"/>
              <w:numPr>
                <w:ilvl w:val="0"/>
                <w:numId w:val="8"/>
              </w:numPr>
              <w:rPr>
                <w:lang w:val="en-GB"/>
              </w:rPr>
            </w:pPr>
            <w:r w:rsidRPr="00ED478A">
              <w:rPr>
                <w:lang w:val="en-GB"/>
              </w:rPr>
              <w:t>Identify capacity of shelter / CBI team and implementing partner (HR and technical requirements)</w:t>
            </w:r>
          </w:p>
          <w:p w:rsidR="00AC4CA3" w:rsidRDefault="00AC4CA3" w:rsidP="00060694">
            <w:pPr>
              <w:numPr>
                <w:ilvl w:val="0"/>
                <w:numId w:val="2"/>
              </w:numPr>
              <w:rPr>
                <w:lang w:val="en-GB"/>
              </w:rPr>
            </w:pPr>
            <w:r>
              <w:rPr>
                <w:lang w:val="en-GB"/>
              </w:rPr>
              <w:t>Technical expertise in sanitation and construction for assessments (damage and minimum standard)</w:t>
            </w:r>
          </w:p>
          <w:p w:rsidR="00AC4CA3" w:rsidRDefault="00AC4CA3" w:rsidP="00060694">
            <w:pPr>
              <w:numPr>
                <w:ilvl w:val="0"/>
                <w:numId w:val="2"/>
              </w:numPr>
              <w:rPr>
                <w:lang w:val="en-GB"/>
              </w:rPr>
            </w:pPr>
            <w:r>
              <w:rPr>
                <w:lang w:val="en-GB"/>
              </w:rPr>
              <w:t>Legal expertise, to advise on secure tenure agreements, HLP and contracts with financial service providers</w:t>
            </w:r>
          </w:p>
          <w:p w:rsidR="00AC4CA3" w:rsidRDefault="00AC4CA3" w:rsidP="00060694">
            <w:pPr>
              <w:numPr>
                <w:ilvl w:val="0"/>
                <w:numId w:val="2"/>
              </w:numPr>
              <w:rPr>
                <w:lang w:val="en-GB"/>
              </w:rPr>
            </w:pPr>
            <w:r>
              <w:rPr>
                <w:lang w:val="en-GB"/>
              </w:rPr>
              <w:t>Data management and possibly mobile electronic data collection (recommended for large programmes)</w:t>
            </w:r>
          </w:p>
          <w:p w:rsidR="00AC4CA3" w:rsidRDefault="00AC4CA3" w:rsidP="00060694">
            <w:pPr>
              <w:numPr>
                <w:ilvl w:val="0"/>
                <w:numId w:val="2"/>
              </w:numPr>
              <w:rPr>
                <w:lang w:val="en-GB"/>
              </w:rPr>
            </w:pPr>
            <w:r>
              <w:rPr>
                <w:lang w:val="en-GB"/>
              </w:rPr>
              <w:t xml:space="preserve">Financial expertise </w:t>
            </w:r>
          </w:p>
          <w:p w:rsidR="00AC4CA3" w:rsidRPr="00622E2D" w:rsidRDefault="00AC4CA3" w:rsidP="00060694">
            <w:pPr>
              <w:pStyle w:val="Listenabsatz"/>
              <w:numPr>
                <w:ilvl w:val="0"/>
                <w:numId w:val="2"/>
              </w:numPr>
              <w:rPr>
                <w:lang w:val="en-GB"/>
              </w:rPr>
            </w:pPr>
            <w:r w:rsidRPr="00622E2D">
              <w:rPr>
                <w:lang w:val="en-GB"/>
              </w:rPr>
              <w:t>Experienced staff needed for regular monitoring of a) shelter-specific outcomes, b) of the efficiency of the chosen cash transfer mechanism, and c) of protection related issues</w:t>
            </w:r>
          </w:p>
        </w:tc>
        <w:tc>
          <w:tcPr>
            <w:tcW w:w="706" w:type="dxa"/>
          </w:tcPr>
          <w:p w:rsidR="00060694" w:rsidRPr="005E21BE" w:rsidRDefault="00060694" w:rsidP="00060694">
            <w:pPr>
              <w:jc w:val="center"/>
              <w:rPr>
                <w:lang w:val="en-GB"/>
              </w:rPr>
            </w:pPr>
          </w:p>
          <w:p w:rsidR="00060694" w:rsidRPr="005E21BE" w:rsidRDefault="00060694" w:rsidP="00060694">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AC4CA3" w:rsidRPr="005E21BE" w:rsidRDefault="00AC4CA3" w:rsidP="004E59FC">
            <w:pPr>
              <w:jc w:val="center"/>
              <w:rPr>
                <w:lang w:val="en-GB"/>
              </w:rPr>
            </w:pPr>
          </w:p>
        </w:tc>
        <w:tc>
          <w:tcPr>
            <w:tcW w:w="2544" w:type="dxa"/>
          </w:tcPr>
          <w:p w:rsidR="00AC4CA3" w:rsidRPr="001551C8" w:rsidRDefault="00AC4CA3">
            <w:pPr>
              <w:rPr>
                <w:lang w:val="en-GB"/>
              </w:rPr>
            </w:pPr>
          </w:p>
        </w:tc>
      </w:tr>
      <w:tr w:rsidR="00CB4D43" w:rsidRPr="005C2175" w:rsidTr="00C77C56">
        <w:tc>
          <w:tcPr>
            <w:tcW w:w="1615" w:type="dxa"/>
            <w:vMerge/>
          </w:tcPr>
          <w:p w:rsidR="00CB4D43" w:rsidRPr="001551C8" w:rsidRDefault="00CB4D43" w:rsidP="00CB4D43">
            <w:pPr>
              <w:rPr>
                <w:lang w:val="en-GB"/>
              </w:rPr>
            </w:pPr>
          </w:p>
        </w:tc>
        <w:tc>
          <w:tcPr>
            <w:tcW w:w="10303" w:type="dxa"/>
          </w:tcPr>
          <w:p w:rsidR="00CB4D43" w:rsidRPr="00ED478A" w:rsidRDefault="00CB4D43" w:rsidP="00CB4D43">
            <w:pPr>
              <w:pStyle w:val="Listenabsatz"/>
              <w:numPr>
                <w:ilvl w:val="0"/>
                <w:numId w:val="8"/>
              </w:numPr>
              <w:rPr>
                <w:lang w:val="en-GB"/>
              </w:rPr>
            </w:pPr>
            <w:r w:rsidRPr="00ED478A">
              <w:rPr>
                <w:lang w:val="en-GB"/>
              </w:rPr>
              <w:t>Identify the most appropriate cash transfer mechanism and modalities, and negotiate with service providers and vendors</w:t>
            </w:r>
          </w:p>
          <w:p w:rsidR="00CB4D43" w:rsidRPr="00282579" w:rsidRDefault="002B718E" w:rsidP="00CB4D43">
            <w:pPr>
              <w:pStyle w:val="Listenabsatz"/>
              <w:numPr>
                <w:ilvl w:val="0"/>
                <w:numId w:val="23"/>
              </w:numPr>
              <w:rPr>
                <w:lang w:val="en-GB"/>
              </w:rPr>
            </w:pPr>
            <w:r>
              <w:rPr>
                <w:lang w:val="en-GB"/>
              </w:rPr>
              <w:lastRenderedPageBreak/>
              <w:t xml:space="preserve">Find out, if </w:t>
            </w:r>
            <w:r w:rsidR="00CB4D43">
              <w:rPr>
                <w:lang w:val="en-GB"/>
              </w:rPr>
              <w:t xml:space="preserve">the target group </w:t>
            </w:r>
            <w:r>
              <w:rPr>
                <w:lang w:val="en-GB"/>
              </w:rPr>
              <w:t xml:space="preserve">is </w:t>
            </w:r>
            <w:r w:rsidR="00CB4D43">
              <w:rPr>
                <w:lang w:val="en-GB"/>
              </w:rPr>
              <w:t>familiar with it</w:t>
            </w:r>
          </w:p>
          <w:p w:rsidR="00CB4D43" w:rsidRPr="00ED478A" w:rsidRDefault="00CB4D43" w:rsidP="00CB4D43">
            <w:pPr>
              <w:pStyle w:val="Listenabsatz"/>
              <w:numPr>
                <w:ilvl w:val="0"/>
                <w:numId w:val="23"/>
              </w:numPr>
              <w:rPr>
                <w:lang w:val="en-GB"/>
              </w:rPr>
            </w:pPr>
            <w:r>
              <w:rPr>
                <w:lang w:val="en-GB"/>
              </w:rPr>
              <w:t>Coordinate with partners</w:t>
            </w:r>
          </w:p>
          <w:p w:rsidR="00CB4D43" w:rsidRDefault="00CB4D43" w:rsidP="00CB4D43">
            <w:pPr>
              <w:pStyle w:val="Listenabsatz"/>
              <w:numPr>
                <w:ilvl w:val="0"/>
                <w:numId w:val="4"/>
              </w:numPr>
              <w:rPr>
                <w:lang w:val="en-GB"/>
              </w:rPr>
            </w:pPr>
            <w:r>
              <w:rPr>
                <w:lang w:val="en-GB"/>
              </w:rPr>
              <w:t>I</w:t>
            </w:r>
            <w:r w:rsidRPr="00622E2D">
              <w:rPr>
                <w:lang w:val="en-GB"/>
              </w:rPr>
              <w:t>f the landlord is paid directly, agreement on mechanism is part of the negotiations</w:t>
            </w:r>
          </w:p>
          <w:p w:rsidR="00CB4D43" w:rsidRDefault="00CB4D43" w:rsidP="00DF0893">
            <w:pPr>
              <w:pStyle w:val="Listenabsatz"/>
              <w:ind w:left="0"/>
              <w:rPr>
                <w:lang w:val="en-GB"/>
              </w:rPr>
            </w:pPr>
            <w:r>
              <w:rPr>
                <w:lang w:val="en-GB"/>
              </w:rPr>
              <w:t>See also ‘Overview CBIs and delivery mechanisms’</w:t>
            </w:r>
          </w:p>
          <w:p w:rsidR="00DF0893" w:rsidRPr="00ED478A" w:rsidRDefault="00981501" w:rsidP="00DF0893">
            <w:pPr>
              <w:pStyle w:val="Listenabsatz"/>
              <w:ind w:left="0"/>
              <w:rPr>
                <w:lang w:val="en-GB"/>
              </w:rPr>
            </w:pPr>
            <w:r>
              <w:rPr>
                <w:lang w:val="en-GB"/>
              </w:rPr>
              <w:t xml:space="preserve">UNHCR Cash Delivery Mechanism Assessment Tool </w:t>
            </w:r>
            <w:hyperlink r:id="rId14" w:history="1">
              <w:r w:rsidR="00DF0893" w:rsidRPr="00266F88">
                <w:rPr>
                  <w:rStyle w:val="Hyperlink"/>
                  <w:lang w:val="en-GB"/>
                </w:rPr>
                <w:t>http://www.unhcr.org/598c69db7</w:t>
              </w:r>
            </w:hyperlink>
            <w:r w:rsidR="00DF0893">
              <w:rPr>
                <w:lang w:val="en-GB"/>
              </w:rPr>
              <w:t xml:space="preserve"> </w:t>
            </w:r>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5E21BE" w:rsidRDefault="00CB4D43" w:rsidP="00CB4D43">
            <w:pPr>
              <w:jc w:val="center"/>
              <w:rPr>
                <w:lang w:val="en-GB"/>
              </w:rPr>
            </w:pPr>
          </w:p>
        </w:tc>
        <w:tc>
          <w:tcPr>
            <w:tcW w:w="2544" w:type="dxa"/>
          </w:tcPr>
          <w:p w:rsidR="00CB4D43" w:rsidRDefault="00CB4D43" w:rsidP="00CB4D43">
            <w:pPr>
              <w:rPr>
                <w:lang w:val="en-GB"/>
              </w:rPr>
            </w:pPr>
            <w:r>
              <w:rPr>
                <w:lang w:val="en-GB"/>
              </w:rPr>
              <w:lastRenderedPageBreak/>
              <w:t>Risk of delays to response</w:t>
            </w:r>
          </w:p>
        </w:tc>
      </w:tr>
      <w:tr w:rsidR="00CB4D43" w:rsidRPr="005479A7" w:rsidTr="00C77C56">
        <w:tc>
          <w:tcPr>
            <w:tcW w:w="1615" w:type="dxa"/>
            <w:vMerge w:val="restart"/>
          </w:tcPr>
          <w:p w:rsidR="00CB4D43" w:rsidRPr="00C77C56" w:rsidRDefault="00CB4D43" w:rsidP="00CB4D43">
            <w:pPr>
              <w:rPr>
                <w:b/>
                <w:sz w:val="24"/>
                <w:szCs w:val="24"/>
                <w:lang w:val="en-GB"/>
              </w:rPr>
            </w:pPr>
            <w:r w:rsidRPr="00C77C56">
              <w:rPr>
                <w:b/>
                <w:sz w:val="24"/>
                <w:szCs w:val="24"/>
                <w:lang w:val="en-GB"/>
              </w:rPr>
              <w:t>Designing</w:t>
            </w:r>
          </w:p>
        </w:tc>
        <w:tc>
          <w:tcPr>
            <w:tcW w:w="10303" w:type="dxa"/>
          </w:tcPr>
          <w:p w:rsidR="00CB4D43" w:rsidRPr="00CB4D43" w:rsidRDefault="00CB4D43" w:rsidP="00CB4D43">
            <w:pPr>
              <w:pStyle w:val="Listenabsatz"/>
              <w:numPr>
                <w:ilvl w:val="0"/>
                <w:numId w:val="25"/>
              </w:numPr>
              <w:rPr>
                <w:lang w:val="en-GB"/>
              </w:rPr>
            </w:pPr>
            <w:r w:rsidRPr="00CB4D43">
              <w:rPr>
                <w:lang w:val="en-GB"/>
              </w:rPr>
              <w:t>Decide upon beneficiary selection process and vulnerability criteria</w:t>
            </w:r>
          </w:p>
          <w:p w:rsidR="00CB4D43" w:rsidRDefault="00CB4D43" w:rsidP="00CB4D43">
            <w:pPr>
              <w:pStyle w:val="Listenabsatz"/>
              <w:numPr>
                <w:ilvl w:val="0"/>
                <w:numId w:val="15"/>
              </w:numPr>
              <w:rPr>
                <w:lang w:val="en-GB"/>
              </w:rPr>
            </w:pPr>
            <w:r w:rsidRPr="00622E2D">
              <w:rPr>
                <w:lang w:val="en-GB"/>
              </w:rPr>
              <w:t xml:space="preserve">Coordinate with </w:t>
            </w:r>
            <w:r>
              <w:rPr>
                <w:lang w:val="en-GB"/>
              </w:rPr>
              <w:t xml:space="preserve">multi-functional team, </w:t>
            </w:r>
            <w:r w:rsidRPr="00622E2D">
              <w:rPr>
                <w:lang w:val="en-GB"/>
              </w:rPr>
              <w:t>partners and local stakeholders</w:t>
            </w:r>
          </w:p>
          <w:p w:rsidR="00CB4D43" w:rsidRPr="00622E2D" w:rsidRDefault="00CB4D43" w:rsidP="00CB4D43">
            <w:pPr>
              <w:pStyle w:val="Listenabsatz"/>
              <w:numPr>
                <w:ilvl w:val="0"/>
                <w:numId w:val="15"/>
              </w:numPr>
              <w:rPr>
                <w:lang w:val="en-GB"/>
              </w:rPr>
            </w:pPr>
            <w:r>
              <w:rPr>
                <w:lang w:val="en-GB"/>
              </w:rPr>
              <w:t>Ensure programme design recognises additional measures to cater to Persons with Specific Needs</w:t>
            </w:r>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1551C8" w:rsidRDefault="00CB4D43" w:rsidP="00CB4D43">
            <w:pPr>
              <w:rPr>
                <w:lang w:val="en-GB"/>
              </w:rPr>
            </w:pPr>
          </w:p>
        </w:tc>
        <w:tc>
          <w:tcPr>
            <w:tcW w:w="2544" w:type="dxa"/>
          </w:tcPr>
          <w:p w:rsidR="00CB4D43" w:rsidRPr="001551C8" w:rsidRDefault="00CB4D43" w:rsidP="00CB4D43">
            <w:pPr>
              <w:rPr>
                <w:lang w:val="en-GB"/>
              </w:rPr>
            </w:pPr>
          </w:p>
        </w:tc>
      </w:tr>
      <w:tr w:rsidR="00CB4D43" w:rsidRPr="005479A7" w:rsidTr="00C77C56">
        <w:tc>
          <w:tcPr>
            <w:tcW w:w="1615" w:type="dxa"/>
            <w:vMerge/>
          </w:tcPr>
          <w:p w:rsidR="00CB4D43" w:rsidRPr="001551C8" w:rsidRDefault="00CB4D43" w:rsidP="00CB4D43">
            <w:pPr>
              <w:rPr>
                <w:lang w:val="en-GB"/>
              </w:rPr>
            </w:pPr>
          </w:p>
        </w:tc>
        <w:tc>
          <w:tcPr>
            <w:tcW w:w="10303" w:type="dxa"/>
          </w:tcPr>
          <w:p w:rsidR="00CB4D43" w:rsidRPr="00CB4D43" w:rsidRDefault="00CB4D43" w:rsidP="00CB4D43">
            <w:pPr>
              <w:pStyle w:val="Listenabsatz"/>
              <w:numPr>
                <w:ilvl w:val="0"/>
                <w:numId w:val="25"/>
              </w:numPr>
              <w:rPr>
                <w:lang w:val="en-GB"/>
              </w:rPr>
            </w:pPr>
            <w:r w:rsidRPr="00CB4D43">
              <w:rPr>
                <w:lang w:val="en-GB"/>
              </w:rPr>
              <w:t>Define minimum standard shelter / living conditions, together with shelter partners and local stakeholders</w:t>
            </w:r>
          </w:p>
          <w:p w:rsidR="00CB4D43" w:rsidRDefault="00CB4D43" w:rsidP="00CB4D43">
            <w:pPr>
              <w:pStyle w:val="Listenabsatz"/>
              <w:numPr>
                <w:ilvl w:val="0"/>
                <w:numId w:val="15"/>
              </w:numPr>
              <w:rPr>
                <w:lang w:val="en-GB"/>
              </w:rPr>
            </w:pPr>
            <w:r w:rsidRPr="0060563A">
              <w:rPr>
                <w:lang w:val="en-GB"/>
              </w:rPr>
              <w:t>Is there a national minimum standard for accommodation defined yet? If yes, is it useful in the given context?</w:t>
            </w:r>
          </w:p>
          <w:p w:rsidR="00CB4D43" w:rsidRPr="0060563A" w:rsidRDefault="00CB4D43" w:rsidP="00CB4D43">
            <w:pPr>
              <w:pStyle w:val="Listenabsatz"/>
              <w:numPr>
                <w:ilvl w:val="0"/>
                <w:numId w:val="15"/>
              </w:numPr>
              <w:rPr>
                <w:lang w:val="en-GB"/>
              </w:rPr>
            </w:pPr>
            <w:r>
              <w:rPr>
                <w:lang w:val="en-GB"/>
              </w:rPr>
              <w:t>Ensure programme design recognises additional measures to cater to Persons with Specific Needs</w:t>
            </w:r>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1551C8" w:rsidRDefault="00CB4D43" w:rsidP="00CB4D43">
            <w:pPr>
              <w:rPr>
                <w:lang w:val="en-GB"/>
              </w:rPr>
            </w:pPr>
          </w:p>
        </w:tc>
        <w:tc>
          <w:tcPr>
            <w:tcW w:w="2544" w:type="dxa"/>
          </w:tcPr>
          <w:p w:rsidR="00CB4D43" w:rsidRPr="001551C8" w:rsidRDefault="00CB4D43" w:rsidP="00CB4D43">
            <w:pPr>
              <w:rPr>
                <w:lang w:val="en-GB"/>
              </w:rPr>
            </w:pPr>
          </w:p>
        </w:tc>
      </w:tr>
      <w:tr w:rsidR="00CB4D43" w:rsidRPr="005C2175" w:rsidTr="00C77C56">
        <w:tc>
          <w:tcPr>
            <w:tcW w:w="1615" w:type="dxa"/>
            <w:vMerge/>
          </w:tcPr>
          <w:p w:rsidR="00CB4D43" w:rsidRPr="001551C8" w:rsidRDefault="00CB4D43" w:rsidP="00CB4D43">
            <w:pPr>
              <w:rPr>
                <w:lang w:val="en-GB"/>
              </w:rPr>
            </w:pPr>
          </w:p>
        </w:tc>
        <w:tc>
          <w:tcPr>
            <w:tcW w:w="10303" w:type="dxa"/>
          </w:tcPr>
          <w:p w:rsidR="00CD461E" w:rsidRDefault="00CB4D43" w:rsidP="00CB4D43">
            <w:pPr>
              <w:pStyle w:val="KeinLeerraum"/>
              <w:numPr>
                <w:ilvl w:val="0"/>
                <w:numId w:val="25"/>
              </w:numPr>
              <w:rPr>
                <w:lang w:val="en-GB"/>
              </w:rPr>
            </w:pPr>
            <w:r>
              <w:rPr>
                <w:lang w:val="en-GB"/>
              </w:rPr>
              <w:t>Define</w:t>
            </w:r>
            <w:r w:rsidRPr="005E21BE">
              <w:rPr>
                <w:lang w:val="en-GB"/>
              </w:rPr>
              <w:t xml:space="preserve"> value of transfer</w:t>
            </w:r>
            <w:r>
              <w:rPr>
                <w:lang w:val="en-GB"/>
              </w:rPr>
              <w:t>, frequency and duration of support</w:t>
            </w:r>
          </w:p>
          <w:p w:rsidR="00CB4D43" w:rsidRDefault="00CD461E" w:rsidP="00CD461E">
            <w:pPr>
              <w:pStyle w:val="KeinLeerraum"/>
              <w:numPr>
                <w:ilvl w:val="0"/>
                <w:numId w:val="29"/>
              </w:numPr>
              <w:rPr>
                <w:lang w:val="en-GB"/>
              </w:rPr>
            </w:pPr>
            <w:r>
              <w:rPr>
                <w:lang w:val="en-GB"/>
              </w:rPr>
              <w:t>Coordinate with shelter partners and local stakeholders</w:t>
            </w:r>
          </w:p>
          <w:p w:rsidR="00CB4D43" w:rsidRDefault="00CB4D43" w:rsidP="00CB4D43">
            <w:pPr>
              <w:pStyle w:val="KeinLeerraum"/>
              <w:numPr>
                <w:ilvl w:val="0"/>
                <w:numId w:val="16"/>
              </w:numPr>
              <w:rPr>
                <w:lang w:val="en-GB"/>
              </w:rPr>
            </w:pPr>
            <w:r>
              <w:rPr>
                <w:lang w:val="en-GB"/>
              </w:rPr>
              <w:t xml:space="preserve">What is the total budget? And how many HH must be supported? For how long? </w:t>
            </w:r>
          </w:p>
          <w:p w:rsidR="00CB4D43" w:rsidRDefault="00CB4D43" w:rsidP="00CB4D43">
            <w:pPr>
              <w:pStyle w:val="KeinLeerraum"/>
              <w:numPr>
                <w:ilvl w:val="0"/>
                <w:numId w:val="16"/>
              </w:numPr>
              <w:rPr>
                <w:lang w:val="en-GB"/>
              </w:rPr>
            </w:pPr>
            <w:r>
              <w:rPr>
                <w:lang w:val="en-GB"/>
              </w:rPr>
              <w:t>A</w:t>
            </w:r>
            <w:r w:rsidRPr="000D3EEF">
              <w:rPr>
                <w:lang w:val="en-GB"/>
              </w:rPr>
              <w:t>re there income opportunities for PoC, to enable them to bear the rental burden themselves after the duration of the support?</w:t>
            </w:r>
          </w:p>
          <w:p w:rsidR="00CB4D43" w:rsidRPr="0060563A" w:rsidRDefault="00CB4D43" w:rsidP="00CB4D43">
            <w:pPr>
              <w:pStyle w:val="Listenabsatz"/>
              <w:numPr>
                <w:ilvl w:val="0"/>
                <w:numId w:val="16"/>
              </w:numPr>
              <w:rPr>
                <w:lang w:val="en-GB"/>
              </w:rPr>
            </w:pPr>
            <w:r w:rsidRPr="0060563A">
              <w:rPr>
                <w:lang w:val="en-GB"/>
              </w:rPr>
              <w:t>Ensure that small repairs are covered by the budget</w:t>
            </w:r>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1551C8" w:rsidRDefault="00CB4D43" w:rsidP="00CB4D43">
            <w:pPr>
              <w:rPr>
                <w:lang w:val="en-GB"/>
              </w:rPr>
            </w:pPr>
          </w:p>
        </w:tc>
        <w:tc>
          <w:tcPr>
            <w:tcW w:w="2544" w:type="dxa"/>
          </w:tcPr>
          <w:p w:rsidR="00CB4D43" w:rsidRPr="001551C8" w:rsidRDefault="00E64BA0" w:rsidP="00CB4D43">
            <w:pPr>
              <w:rPr>
                <w:lang w:val="en-GB"/>
              </w:rPr>
            </w:pPr>
            <w:r>
              <w:rPr>
                <w:lang w:val="en-GB"/>
              </w:rPr>
              <w:t>Risk of conflict with target population</w:t>
            </w:r>
          </w:p>
        </w:tc>
      </w:tr>
      <w:tr w:rsidR="00CB4D43" w:rsidRPr="005C2175" w:rsidTr="00C77C56">
        <w:tc>
          <w:tcPr>
            <w:tcW w:w="1615" w:type="dxa"/>
            <w:vMerge/>
          </w:tcPr>
          <w:p w:rsidR="00CB4D43" w:rsidRPr="001551C8" w:rsidRDefault="00CB4D43" w:rsidP="00CB4D43">
            <w:pPr>
              <w:rPr>
                <w:lang w:val="en-GB"/>
              </w:rPr>
            </w:pPr>
          </w:p>
        </w:tc>
        <w:tc>
          <w:tcPr>
            <w:tcW w:w="10303" w:type="dxa"/>
          </w:tcPr>
          <w:p w:rsidR="00CB4D43" w:rsidRPr="005E21BE" w:rsidRDefault="00CB4D43" w:rsidP="00CB4D43">
            <w:pPr>
              <w:pStyle w:val="KeinLeerraum"/>
              <w:numPr>
                <w:ilvl w:val="0"/>
                <w:numId w:val="25"/>
              </w:numPr>
              <w:rPr>
                <w:lang w:val="en-GB"/>
              </w:rPr>
            </w:pPr>
            <w:r w:rsidRPr="005E21BE">
              <w:rPr>
                <w:lang w:val="en-GB"/>
              </w:rPr>
              <w:t xml:space="preserve">Ensure transparent communication and coordination with all stakeholders </w:t>
            </w:r>
          </w:p>
          <w:p w:rsidR="00CB4D43" w:rsidRPr="005E21BE" w:rsidRDefault="00CB4D43" w:rsidP="00CB4D43">
            <w:pPr>
              <w:pStyle w:val="KeinLeerraum"/>
              <w:numPr>
                <w:ilvl w:val="0"/>
                <w:numId w:val="17"/>
              </w:numPr>
              <w:rPr>
                <w:lang w:val="en-GB"/>
              </w:rPr>
            </w:pPr>
            <w:r>
              <w:rPr>
                <w:lang w:val="en-GB"/>
              </w:rPr>
              <w:t>W</w:t>
            </w:r>
            <w:r w:rsidRPr="005E21BE">
              <w:rPr>
                <w:lang w:val="en-GB"/>
              </w:rPr>
              <w:t xml:space="preserve">hat are the preferred communication channels of the </w:t>
            </w:r>
            <w:r>
              <w:rPr>
                <w:lang w:val="en-GB"/>
              </w:rPr>
              <w:t>displaced</w:t>
            </w:r>
            <w:r w:rsidRPr="005E21BE">
              <w:rPr>
                <w:lang w:val="en-GB"/>
              </w:rPr>
              <w:t xml:space="preserve"> population</w:t>
            </w:r>
            <w:r>
              <w:rPr>
                <w:lang w:val="en-GB"/>
              </w:rPr>
              <w:t xml:space="preserve"> and the host community</w:t>
            </w:r>
            <w:r w:rsidRPr="005E21BE">
              <w:rPr>
                <w:lang w:val="en-GB"/>
              </w:rPr>
              <w:t>?</w:t>
            </w:r>
          </w:p>
          <w:p w:rsidR="00CB4D43" w:rsidRPr="005E21BE" w:rsidRDefault="00CB4D43" w:rsidP="00CB4D43">
            <w:pPr>
              <w:pStyle w:val="KeinLeerraum"/>
              <w:numPr>
                <w:ilvl w:val="0"/>
                <w:numId w:val="17"/>
              </w:numPr>
              <w:rPr>
                <w:lang w:val="en-GB"/>
              </w:rPr>
            </w:pPr>
            <w:r>
              <w:rPr>
                <w:lang w:val="en-GB"/>
              </w:rPr>
              <w:t>W</w:t>
            </w:r>
            <w:r w:rsidRPr="005E21BE">
              <w:rPr>
                <w:lang w:val="en-GB"/>
              </w:rPr>
              <w:t>hat kind of IEC materials are needed?</w:t>
            </w:r>
          </w:p>
          <w:p w:rsidR="00CB4D43" w:rsidRPr="000F109B" w:rsidRDefault="0083615F" w:rsidP="00CB4D43">
            <w:pPr>
              <w:pStyle w:val="Listenabsatz"/>
              <w:ind w:left="360"/>
              <w:rPr>
                <w:lang w:val="en-GB"/>
              </w:rPr>
            </w:pPr>
            <w:hyperlink r:id="rId15" w:history="1">
              <w:r w:rsidR="00CB4D43" w:rsidRPr="005E21BE">
                <w:rPr>
                  <w:rStyle w:val="Hyperlink"/>
                  <w:lang w:val="en-GB"/>
                </w:rPr>
                <w:t>http://www.cashlearning.org/resources/library/28-communicating-cash-a-field-guide-to-beneficiary-communications-in-cash-transfer-programming-screen-version</w:t>
              </w:r>
            </w:hyperlink>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1551C8" w:rsidRDefault="00CB4D43" w:rsidP="00CB4D43">
            <w:pPr>
              <w:rPr>
                <w:lang w:val="en-GB"/>
              </w:rPr>
            </w:pPr>
          </w:p>
        </w:tc>
        <w:tc>
          <w:tcPr>
            <w:tcW w:w="2544" w:type="dxa"/>
          </w:tcPr>
          <w:p w:rsidR="00CB4D43" w:rsidRPr="001551C8" w:rsidRDefault="00906B0D" w:rsidP="00CB4D43">
            <w:pPr>
              <w:rPr>
                <w:lang w:val="en-GB"/>
              </w:rPr>
            </w:pPr>
            <w:r>
              <w:rPr>
                <w:lang w:val="en-GB"/>
              </w:rPr>
              <w:t>Risk that target population rejects project</w:t>
            </w:r>
          </w:p>
        </w:tc>
      </w:tr>
      <w:tr w:rsidR="00106363" w:rsidRPr="00106363" w:rsidTr="00C77C56">
        <w:tc>
          <w:tcPr>
            <w:tcW w:w="1615" w:type="dxa"/>
            <w:vMerge/>
          </w:tcPr>
          <w:p w:rsidR="00106363" w:rsidRPr="001551C8" w:rsidRDefault="00106363" w:rsidP="00CB4D43">
            <w:pPr>
              <w:rPr>
                <w:lang w:val="en-GB"/>
              </w:rPr>
            </w:pPr>
          </w:p>
        </w:tc>
        <w:tc>
          <w:tcPr>
            <w:tcW w:w="10303" w:type="dxa"/>
          </w:tcPr>
          <w:p w:rsidR="00106363" w:rsidRDefault="00106363" w:rsidP="00106363">
            <w:pPr>
              <w:pStyle w:val="Listenabsatz"/>
              <w:numPr>
                <w:ilvl w:val="0"/>
                <w:numId w:val="25"/>
              </w:numPr>
              <w:rPr>
                <w:lang w:val="en-GB"/>
              </w:rPr>
            </w:pPr>
            <w:r>
              <w:rPr>
                <w:lang w:val="en-GB"/>
              </w:rPr>
              <w:t>Develop IEC materials for shelter outcomes, identified risks, and for the chosen cash transfer mechanism</w:t>
            </w:r>
          </w:p>
          <w:p w:rsidR="00106363" w:rsidRPr="005E21BE" w:rsidRDefault="00106363" w:rsidP="00106363">
            <w:pPr>
              <w:pStyle w:val="KeinLeerraum"/>
              <w:numPr>
                <w:ilvl w:val="0"/>
                <w:numId w:val="28"/>
              </w:numPr>
              <w:rPr>
                <w:lang w:val="en-GB"/>
              </w:rPr>
            </w:pPr>
            <w:r>
              <w:rPr>
                <w:lang w:val="en-GB"/>
              </w:rPr>
              <w:t>Is additional training needed?</w:t>
            </w:r>
          </w:p>
        </w:tc>
        <w:tc>
          <w:tcPr>
            <w:tcW w:w="706" w:type="dxa"/>
          </w:tcPr>
          <w:p w:rsidR="00106363" w:rsidRPr="005E21BE" w:rsidRDefault="00106363" w:rsidP="00106363">
            <w:pPr>
              <w:jc w:val="center"/>
              <w:rPr>
                <w:lang w:val="en-GB"/>
              </w:rPr>
            </w:pPr>
          </w:p>
          <w:p w:rsidR="00106363" w:rsidRPr="005E21BE" w:rsidRDefault="00106363" w:rsidP="0010636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tc>
        <w:tc>
          <w:tcPr>
            <w:tcW w:w="2544" w:type="dxa"/>
          </w:tcPr>
          <w:p w:rsidR="00106363" w:rsidRDefault="00106363" w:rsidP="00CB4D43">
            <w:pPr>
              <w:rPr>
                <w:lang w:val="en-GB"/>
              </w:rPr>
            </w:pPr>
          </w:p>
        </w:tc>
      </w:tr>
      <w:tr w:rsidR="00CB4D43" w:rsidRPr="005479A7" w:rsidTr="00C77C56">
        <w:tc>
          <w:tcPr>
            <w:tcW w:w="1615" w:type="dxa"/>
            <w:vMerge/>
          </w:tcPr>
          <w:p w:rsidR="00CB4D43" w:rsidRPr="001551C8" w:rsidRDefault="00CB4D43" w:rsidP="00CB4D43">
            <w:pPr>
              <w:rPr>
                <w:lang w:val="en-GB"/>
              </w:rPr>
            </w:pPr>
          </w:p>
        </w:tc>
        <w:tc>
          <w:tcPr>
            <w:tcW w:w="10303" w:type="dxa"/>
          </w:tcPr>
          <w:p w:rsidR="00CB4D43" w:rsidRPr="005E21BE" w:rsidRDefault="00CB4D43" w:rsidP="00CB4D43">
            <w:pPr>
              <w:pStyle w:val="KeinLeerraum"/>
              <w:numPr>
                <w:ilvl w:val="0"/>
                <w:numId w:val="25"/>
              </w:numPr>
              <w:rPr>
                <w:lang w:val="en-GB"/>
              </w:rPr>
            </w:pPr>
            <w:r w:rsidRPr="005E21BE">
              <w:rPr>
                <w:lang w:val="en-GB"/>
              </w:rPr>
              <w:t xml:space="preserve">Undertake capacity building </w:t>
            </w:r>
            <w:r>
              <w:rPr>
                <w:lang w:val="en-GB"/>
              </w:rPr>
              <w:t>if necessary for all positions needed</w:t>
            </w:r>
          </w:p>
          <w:p w:rsidR="00CB4D43" w:rsidRPr="00421BA7" w:rsidRDefault="00CB4D43" w:rsidP="00CB4D43">
            <w:pPr>
              <w:pStyle w:val="KeinLeerraum"/>
              <w:rPr>
                <w:lang w:val="en-GB"/>
              </w:rPr>
            </w:pPr>
          </w:p>
        </w:tc>
        <w:tc>
          <w:tcPr>
            <w:tcW w:w="706" w:type="dxa"/>
          </w:tcPr>
          <w:p w:rsidR="00CB4D43" w:rsidRPr="005E21BE" w:rsidRDefault="00CB4D43" w:rsidP="00CB4D43">
            <w:pPr>
              <w:jc w:val="center"/>
              <w:rPr>
                <w:lang w:val="en-GB"/>
              </w:rPr>
            </w:pPr>
          </w:p>
          <w:p w:rsidR="00CB4D43" w:rsidRPr="001551C8"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tc>
        <w:tc>
          <w:tcPr>
            <w:tcW w:w="2544" w:type="dxa"/>
          </w:tcPr>
          <w:p w:rsidR="00CB4D43" w:rsidRPr="001551C8" w:rsidRDefault="00CB4D43" w:rsidP="00CB4D43">
            <w:pPr>
              <w:rPr>
                <w:lang w:val="en-GB"/>
              </w:rPr>
            </w:pPr>
          </w:p>
        </w:tc>
      </w:tr>
      <w:tr w:rsidR="00CB4D43" w:rsidRPr="005479A7" w:rsidTr="00C77C56">
        <w:tc>
          <w:tcPr>
            <w:tcW w:w="1615" w:type="dxa"/>
            <w:vMerge/>
          </w:tcPr>
          <w:p w:rsidR="00CB4D43" w:rsidRPr="001551C8" w:rsidRDefault="00CB4D43" w:rsidP="00CB4D43">
            <w:pPr>
              <w:rPr>
                <w:lang w:val="en-GB"/>
              </w:rPr>
            </w:pPr>
          </w:p>
        </w:tc>
        <w:tc>
          <w:tcPr>
            <w:tcW w:w="10303" w:type="dxa"/>
          </w:tcPr>
          <w:p w:rsidR="00CB4D43" w:rsidRPr="00CB4D43" w:rsidRDefault="00CB4D43" w:rsidP="00CB4D43">
            <w:pPr>
              <w:pStyle w:val="Listenabsatz"/>
              <w:numPr>
                <w:ilvl w:val="0"/>
                <w:numId w:val="25"/>
              </w:numPr>
              <w:rPr>
                <w:lang w:val="en-GB"/>
              </w:rPr>
            </w:pPr>
            <w:r w:rsidRPr="00CB4D43">
              <w:rPr>
                <w:lang w:val="en-GB"/>
              </w:rPr>
              <w:t>Develop an exit strategy</w:t>
            </w:r>
          </w:p>
          <w:p w:rsidR="00CB4D43" w:rsidRPr="0060563A" w:rsidRDefault="00B12B5F" w:rsidP="00CB4D43">
            <w:pPr>
              <w:pStyle w:val="Listenabsatz"/>
              <w:numPr>
                <w:ilvl w:val="0"/>
                <w:numId w:val="18"/>
              </w:numPr>
              <w:rPr>
                <w:lang w:val="en-GB"/>
              </w:rPr>
            </w:pPr>
            <w:r>
              <w:rPr>
                <w:lang w:val="en-GB"/>
              </w:rPr>
              <w:t xml:space="preserve">Verify if </w:t>
            </w:r>
            <w:r w:rsidR="00CB4D43" w:rsidRPr="0060563A">
              <w:rPr>
                <w:lang w:val="en-GB"/>
              </w:rPr>
              <w:t xml:space="preserve">the duration for rental support </w:t>
            </w:r>
            <w:r>
              <w:rPr>
                <w:lang w:val="en-GB"/>
              </w:rPr>
              <w:t xml:space="preserve">is </w:t>
            </w:r>
            <w:r w:rsidR="00CB4D43" w:rsidRPr="0060563A">
              <w:rPr>
                <w:lang w:val="en-GB"/>
              </w:rPr>
              <w:t>clearly defined</w:t>
            </w:r>
            <w:r>
              <w:rPr>
                <w:lang w:val="en-GB"/>
              </w:rPr>
              <w:t>.</w:t>
            </w:r>
            <w:r w:rsidR="00CB4D43" w:rsidRPr="0060563A">
              <w:rPr>
                <w:lang w:val="en-GB"/>
              </w:rPr>
              <w:t xml:space="preserve"> Are there options for extension for extremely vulnerable people?</w:t>
            </w:r>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1551C8" w:rsidRDefault="00CB4D43" w:rsidP="00CB4D43">
            <w:pPr>
              <w:rPr>
                <w:lang w:val="en-GB"/>
              </w:rPr>
            </w:pPr>
          </w:p>
        </w:tc>
        <w:tc>
          <w:tcPr>
            <w:tcW w:w="2544" w:type="dxa"/>
          </w:tcPr>
          <w:p w:rsidR="00CB4D43" w:rsidRPr="001551C8" w:rsidRDefault="00CB4D43" w:rsidP="00CB4D43">
            <w:pPr>
              <w:rPr>
                <w:lang w:val="en-GB"/>
              </w:rPr>
            </w:pPr>
          </w:p>
        </w:tc>
      </w:tr>
      <w:tr w:rsidR="00CB4D43" w:rsidRPr="005479A7" w:rsidTr="00C77C56">
        <w:tc>
          <w:tcPr>
            <w:tcW w:w="1615" w:type="dxa"/>
            <w:vMerge w:val="restart"/>
          </w:tcPr>
          <w:p w:rsidR="00CB4D43" w:rsidRPr="00C77C56" w:rsidRDefault="00CB4D43" w:rsidP="00CB4D43">
            <w:pPr>
              <w:rPr>
                <w:b/>
                <w:sz w:val="24"/>
                <w:szCs w:val="24"/>
                <w:lang w:val="en-GB"/>
              </w:rPr>
            </w:pPr>
            <w:r w:rsidRPr="00C77C56">
              <w:rPr>
                <w:b/>
                <w:sz w:val="24"/>
                <w:szCs w:val="24"/>
                <w:lang w:val="en-GB"/>
              </w:rPr>
              <w:t xml:space="preserve">Implementing </w:t>
            </w:r>
            <w:r w:rsidRPr="00C77C56">
              <w:rPr>
                <w:b/>
                <w:sz w:val="24"/>
                <w:szCs w:val="24"/>
                <w:lang w:val="en-GB"/>
              </w:rPr>
              <w:lastRenderedPageBreak/>
              <w:t>and monitoring</w:t>
            </w:r>
          </w:p>
        </w:tc>
        <w:tc>
          <w:tcPr>
            <w:tcW w:w="10303" w:type="dxa"/>
          </w:tcPr>
          <w:p w:rsidR="00CB4D43" w:rsidRPr="005E21BE" w:rsidRDefault="00CB4D43" w:rsidP="00CB4D43">
            <w:pPr>
              <w:pStyle w:val="Listenabsatz"/>
              <w:numPr>
                <w:ilvl w:val="0"/>
                <w:numId w:val="20"/>
              </w:numPr>
              <w:rPr>
                <w:lang w:val="en-GB"/>
              </w:rPr>
            </w:pPr>
            <w:r>
              <w:rPr>
                <w:lang w:val="en-GB"/>
              </w:rPr>
              <w:lastRenderedPageBreak/>
              <w:t>Identify and assess offered rental accommodation</w:t>
            </w:r>
          </w:p>
          <w:p w:rsidR="00CB4D43" w:rsidRDefault="00CB4D43" w:rsidP="00CB4D43">
            <w:pPr>
              <w:pStyle w:val="Listenabsatz"/>
              <w:numPr>
                <w:ilvl w:val="0"/>
                <w:numId w:val="19"/>
              </w:numPr>
              <w:rPr>
                <w:lang w:val="en-GB"/>
              </w:rPr>
            </w:pPr>
            <w:r>
              <w:rPr>
                <w:lang w:val="en-GB"/>
              </w:rPr>
              <w:t>Does location offer appropriate access to necessary services – e.g. schools, markets?</w:t>
            </w:r>
          </w:p>
          <w:p w:rsidR="00CB4D43" w:rsidRPr="0060563A" w:rsidRDefault="00CB4D43" w:rsidP="00CB4D43">
            <w:pPr>
              <w:pStyle w:val="Listenabsatz"/>
              <w:numPr>
                <w:ilvl w:val="0"/>
                <w:numId w:val="19"/>
              </w:numPr>
              <w:rPr>
                <w:lang w:val="en-GB"/>
              </w:rPr>
            </w:pPr>
            <w:r w:rsidRPr="0060563A">
              <w:rPr>
                <w:lang w:val="en-GB"/>
              </w:rPr>
              <w:lastRenderedPageBreak/>
              <w:t>Compliant to defined minimum standard?</w:t>
            </w:r>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1551C8" w:rsidRDefault="00CB4D43" w:rsidP="00CB4D43">
            <w:pPr>
              <w:rPr>
                <w:lang w:val="en-GB"/>
              </w:rPr>
            </w:pPr>
          </w:p>
        </w:tc>
        <w:tc>
          <w:tcPr>
            <w:tcW w:w="2544" w:type="dxa"/>
          </w:tcPr>
          <w:p w:rsidR="00CB4D43" w:rsidRPr="001551C8" w:rsidRDefault="00CB4D43" w:rsidP="00CB4D43">
            <w:pPr>
              <w:rPr>
                <w:lang w:val="en-GB"/>
              </w:rPr>
            </w:pPr>
          </w:p>
        </w:tc>
      </w:tr>
      <w:tr w:rsidR="00CB4D43" w:rsidRPr="005479A7" w:rsidTr="00C77C56">
        <w:tc>
          <w:tcPr>
            <w:tcW w:w="1615" w:type="dxa"/>
            <w:vMerge/>
          </w:tcPr>
          <w:p w:rsidR="00CB4D43" w:rsidRPr="001551C8" w:rsidRDefault="00CB4D43" w:rsidP="00CB4D43">
            <w:pPr>
              <w:rPr>
                <w:lang w:val="en-GB"/>
              </w:rPr>
            </w:pPr>
          </w:p>
        </w:tc>
        <w:tc>
          <w:tcPr>
            <w:tcW w:w="10303" w:type="dxa"/>
          </w:tcPr>
          <w:p w:rsidR="00CB4D43" w:rsidRDefault="00CB4D43" w:rsidP="00CB4D43">
            <w:pPr>
              <w:pStyle w:val="Listenabsatz"/>
              <w:numPr>
                <w:ilvl w:val="0"/>
                <w:numId w:val="20"/>
              </w:numPr>
              <w:rPr>
                <w:lang w:val="en-GB"/>
              </w:rPr>
            </w:pPr>
            <w:r>
              <w:rPr>
                <w:lang w:val="en-GB"/>
              </w:rPr>
              <w:t>Ensure i</w:t>
            </w:r>
            <w:r w:rsidRPr="006E05FA">
              <w:rPr>
                <w:lang w:val="en-GB"/>
              </w:rPr>
              <w:t xml:space="preserve">nternal mechanism </w:t>
            </w:r>
            <w:r>
              <w:rPr>
                <w:lang w:val="en-GB"/>
              </w:rPr>
              <w:t xml:space="preserve">is </w:t>
            </w:r>
            <w:r w:rsidRPr="006E05FA">
              <w:rPr>
                <w:lang w:val="en-GB"/>
              </w:rPr>
              <w:t>in place to release cash instalments</w:t>
            </w:r>
            <w:r>
              <w:rPr>
                <w:lang w:val="en-GB"/>
              </w:rPr>
              <w:t>, as reflected in CBI programme SOPs</w:t>
            </w:r>
          </w:p>
          <w:p w:rsidR="00CB4D43" w:rsidRPr="006E05FA" w:rsidRDefault="00CB4D43" w:rsidP="00CB4D43">
            <w:pPr>
              <w:pStyle w:val="Listenabsatz"/>
              <w:ind w:left="360"/>
              <w:rPr>
                <w:lang w:val="en-GB"/>
              </w:rPr>
            </w:pPr>
          </w:p>
        </w:tc>
        <w:tc>
          <w:tcPr>
            <w:tcW w:w="706" w:type="dxa"/>
          </w:tcPr>
          <w:p w:rsidR="00CB4D43" w:rsidRPr="005E21BE" w:rsidRDefault="00CB4D43" w:rsidP="00CB4D43">
            <w:pPr>
              <w:jc w:val="center"/>
              <w:rPr>
                <w:lang w:val="en-GB"/>
              </w:rPr>
            </w:pPr>
          </w:p>
          <w:p w:rsidR="00CB4D43" w:rsidRPr="001551C8"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tc>
        <w:tc>
          <w:tcPr>
            <w:tcW w:w="2544" w:type="dxa"/>
          </w:tcPr>
          <w:p w:rsidR="00CB4D43" w:rsidRPr="001551C8" w:rsidRDefault="00CB4D43" w:rsidP="00CB4D43">
            <w:pPr>
              <w:rPr>
                <w:lang w:val="en-GB"/>
              </w:rPr>
            </w:pPr>
          </w:p>
        </w:tc>
      </w:tr>
      <w:tr w:rsidR="00CB4D43" w:rsidRPr="006E05FA" w:rsidTr="00C77C56">
        <w:tc>
          <w:tcPr>
            <w:tcW w:w="1615" w:type="dxa"/>
            <w:vMerge/>
          </w:tcPr>
          <w:p w:rsidR="00CB4D43" w:rsidRPr="001551C8" w:rsidRDefault="00CB4D43" w:rsidP="00CB4D43">
            <w:pPr>
              <w:rPr>
                <w:lang w:val="en-GB"/>
              </w:rPr>
            </w:pPr>
          </w:p>
        </w:tc>
        <w:tc>
          <w:tcPr>
            <w:tcW w:w="10303" w:type="dxa"/>
          </w:tcPr>
          <w:p w:rsidR="00CB4D43" w:rsidRPr="00CF56F6" w:rsidRDefault="00CB4D43" w:rsidP="00CB4D43">
            <w:pPr>
              <w:pStyle w:val="Listenabsatz"/>
              <w:numPr>
                <w:ilvl w:val="0"/>
                <w:numId w:val="20"/>
              </w:numPr>
              <w:rPr>
                <w:lang w:val="en-GB"/>
              </w:rPr>
            </w:pPr>
            <w:r w:rsidRPr="00CF56F6">
              <w:rPr>
                <w:lang w:val="en-GB"/>
              </w:rPr>
              <w:t>Ensure there is a legally binding agreement between beneficiary and the landlord about the rights and responsibilities</w:t>
            </w:r>
          </w:p>
          <w:p w:rsidR="00CB4D43" w:rsidRDefault="00CB4D43" w:rsidP="00CB4D43">
            <w:pPr>
              <w:pStyle w:val="Listenabsatz"/>
              <w:numPr>
                <w:ilvl w:val="0"/>
                <w:numId w:val="19"/>
              </w:numPr>
              <w:rPr>
                <w:lang w:val="en-GB"/>
              </w:rPr>
            </w:pPr>
            <w:r>
              <w:rPr>
                <w:lang w:val="en-GB"/>
              </w:rPr>
              <w:t>Support beneficiaries where necessary, without taking responsibility out of their hands</w:t>
            </w:r>
          </w:p>
          <w:p w:rsidR="00CB4D43" w:rsidRDefault="00CB4D43" w:rsidP="00CB4D43">
            <w:pPr>
              <w:pStyle w:val="Listenabsatz"/>
              <w:numPr>
                <w:ilvl w:val="0"/>
                <w:numId w:val="19"/>
              </w:numPr>
              <w:rPr>
                <w:lang w:val="en-GB"/>
              </w:rPr>
            </w:pPr>
            <w:r>
              <w:rPr>
                <w:lang w:val="en-GB"/>
              </w:rPr>
              <w:t>Check if tripartite agreement is necessary, between implementing agency, owner and beneficiary</w:t>
            </w:r>
          </w:p>
          <w:p w:rsidR="00CB4D43" w:rsidRPr="00CF56F6" w:rsidRDefault="00CB4D43" w:rsidP="00CB4D43">
            <w:pPr>
              <w:pStyle w:val="Listenabsatz"/>
              <w:numPr>
                <w:ilvl w:val="0"/>
                <w:numId w:val="19"/>
              </w:numPr>
              <w:rPr>
                <w:lang w:val="en-GB"/>
              </w:rPr>
            </w:pPr>
            <w:r w:rsidRPr="006E05FA">
              <w:rPr>
                <w:lang w:val="en-GB"/>
              </w:rPr>
              <w:t>Get legal advice from partners with ICLA, HLP expertise if necessary</w:t>
            </w:r>
          </w:p>
          <w:p w:rsidR="00CB4D43" w:rsidRPr="004761B6" w:rsidRDefault="0083615F" w:rsidP="00CB4D43">
            <w:pPr>
              <w:pStyle w:val="Listenabsatz"/>
              <w:ind w:left="0"/>
              <w:rPr>
                <w:lang w:val="en-GB"/>
              </w:rPr>
            </w:pPr>
            <w:hyperlink r:id="rId16" w:history="1">
              <w:r w:rsidR="00CB4D43" w:rsidRPr="007E33BC">
                <w:rPr>
                  <w:rStyle w:val="Hyperlink"/>
                  <w:lang w:val="en-GB"/>
                </w:rPr>
                <w:t>http://www.humanitarianlibrary.org/resource/rent-controlled-lease-contract</w:t>
              </w:r>
            </w:hyperlink>
            <w:r w:rsidR="00CB4D43">
              <w:rPr>
                <w:lang w:val="en-GB"/>
              </w:rPr>
              <w:t xml:space="preserve"> </w:t>
            </w:r>
            <w:r w:rsidR="00CB4D43" w:rsidRPr="004761B6">
              <w:rPr>
                <w:lang w:val="en-GB"/>
              </w:rPr>
              <w:t xml:space="preserve"> </w:t>
            </w:r>
          </w:p>
          <w:p w:rsidR="00CB4D43" w:rsidRPr="006E05FA" w:rsidRDefault="0083615F" w:rsidP="00CB4D43">
            <w:pPr>
              <w:pStyle w:val="Listenabsatz"/>
              <w:ind w:left="0"/>
              <w:rPr>
                <w:lang w:val="en-GB"/>
              </w:rPr>
            </w:pPr>
            <w:hyperlink r:id="rId17" w:history="1">
              <w:r w:rsidR="00CB4D43" w:rsidRPr="007E33BC">
                <w:rPr>
                  <w:rStyle w:val="Hyperlink"/>
                  <w:lang w:val="en-GB"/>
                </w:rPr>
                <w:t>http://www.humanitarianlibrary.org/sites/default/files/2015/09/Right%20of%20Use%20Checklist.pdf</w:t>
              </w:r>
            </w:hyperlink>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tc>
        <w:tc>
          <w:tcPr>
            <w:tcW w:w="2544" w:type="dxa"/>
          </w:tcPr>
          <w:p w:rsidR="00CB4D43" w:rsidRPr="001551C8" w:rsidRDefault="005903CA" w:rsidP="00CB4D43">
            <w:pPr>
              <w:rPr>
                <w:lang w:val="en-GB"/>
              </w:rPr>
            </w:pPr>
            <w:r>
              <w:rPr>
                <w:lang w:val="en-GB"/>
              </w:rPr>
              <w:t>Risk of forced eviction</w:t>
            </w:r>
          </w:p>
        </w:tc>
      </w:tr>
      <w:tr w:rsidR="00CB4D43" w:rsidRPr="0060563A" w:rsidTr="00C77C56">
        <w:tc>
          <w:tcPr>
            <w:tcW w:w="1615" w:type="dxa"/>
            <w:vMerge/>
          </w:tcPr>
          <w:p w:rsidR="00CB4D43" w:rsidRPr="001551C8" w:rsidRDefault="00CB4D43" w:rsidP="00CB4D43">
            <w:pPr>
              <w:rPr>
                <w:lang w:val="en-GB"/>
              </w:rPr>
            </w:pPr>
          </w:p>
        </w:tc>
        <w:tc>
          <w:tcPr>
            <w:tcW w:w="10303" w:type="dxa"/>
          </w:tcPr>
          <w:p w:rsidR="00CB4D43" w:rsidRDefault="00CB4D43" w:rsidP="00CB4D43">
            <w:pPr>
              <w:pStyle w:val="KeinLeerraum"/>
              <w:numPr>
                <w:ilvl w:val="0"/>
                <w:numId w:val="20"/>
              </w:numPr>
              <w:rPr>
                <w:lang w:val="en-GB"/>
              </w:rPr>
            </w:pPr>
            <w:r>
              <w:rPr>
                <w:lang w:val="en-GB"/>
              </w:rPr>
              <w:t xml:space="preserve">Ensure continuous monitoring </w:t>
            </w:r>
          </w:p>
          <w:p w:rsidR="00CB4D43" w:rsidRDefault="00B12B5F" w:rsidP="00CB4D43">
            <w:pPr>
              <w:pStyle w:val="Listenabsatz"/>
              <w:numPr>
                <w:ilvl w:val="0"/>
                <w:numId w:val="21"/>
              </w:numPr>
              <w:rPr>
                <w:lang w:val="en-GB"/>
              </w:rPr>
            </w:pPr>
            <w:r>
              <w:rPr>
                <w:lang w:val="en-GB"/>
              </w:rPr>
              <w:t xml:space="preserve">Include </w:t>
            </w:r>
            <w:r w:rsidR="00CB4D43">
              <w:rPr>
                <w:lang w:val="en-GB"/>
              </w:rPr>
              <w:t>a protection focus  in the monitoring,</w:t>
            </w:r>
            <w:r w:rsidR="00CB4D43" w:rsidRPr="00315B2A">
              <w:rPr>
                <w:lang w:val="en-GB"/>
              </w:rPr>
              <w:t xml:space="preserve"> ensuring families are not evicted or otherwise exploited by the landlord</w:t>
            </w:r>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5E21BE" w:rsidRDefault="00CB4D43" w:rsidP="00CB4D43">
            <w:pPr>
              <w:jc w:val="center"/>
              <w:rPr>
                <w:lang w:val="en-GB"/>
              </w:rPr>
            </w:pPr>
          </w:p>
        </w:tc>
        <w:tc>
          <w:tcPr>
            <w:tcW w:w="2544" w:type="dxa"/>
          </w:tcPr>
          <w:p w:rsidR="00CB4D43" w:rsidRPr="001551C8" w:rsidRDefault="00CB4D43" w:rsidP="00CB4D43">
            <w:pPr>
              <w:rPr>
                <w:lang w:val="en-GB"/>
              </w:rPr>
            </w:pPr>
          </w:p>
        </w:tc>
      </w:tr>
      <w:tr w:rsidR="00CB4D43" w:rsidRPr="0060563A" w:rsidTr="00C77C56">
        <w:tc>
          <w:tcPr>
            <w:tcW w:w="1615" w:type="dxa"/>
            <w:vMerge/>
          </w:tcPr>
          <w:p w:rsidR="00CB4D43" w:rsidRPr="001551C8" w:rsidRDefault="00CB4D43" w:rsidP="00CB4D43">
            <w:pPr>
              <w:rPr>
                <w:lang w:val="en-GB"/>
              </w:rPr>
            </w:pPr>
          </w:p>
        </w:tc>
        <w:tc>
          <w:tcPr>
            <w:tcW w:w="10303" w:type="dxa"/>
          </w:tcPr>
          <w:p w:rsidR="00CB4D43" w:rsidRPr="005E21BE" w:rsidRDefault="00CB4D43" w:rsidP="00CB4D43">
            <w:pPr>
              <w:pStyle w:val="Listenabsatz"/>
              <w:numPr>
                <w:ilvl w:val="0"/>
                <w:numId w:val="20"/>
              </w:numPr>
              <w:rPr>
                <w:lang w:val="en-GB"/>
              </w:rPr>
            </w:pPr>
            <w:r w:rsidRPr="005E21BE">
              <w:rPr>
                <w:lang w:val="en-GB"/>
              </w:rPr>
              <w:t>Keep two-way communication channels open for information sharing as well as for feedback</w:t>
            </w:r>
          </w:p>
          <w:p w:rsidR="00CB4D43" w:rsidRDefault="00B12B5F" w:rsidP="00CB4D43">
            <w:pPr>
              <w:pStyle w:val="KeinLeerraum"/>
              <w:numPr>
                <w:ilvl w:val="0"/>
                <w:numId w:val="21"/>
              </w:numPr>
              <w:rPr>
                <w:lang w:val="en-GB"/>
              </w:rPr>
            </w:pPr>
            <w:r>
              <w:rPr>
                <w:lang w:val="en-GB"/>
              </w:rPr>
              <w:t xml:space="preserve">Ensure </w:t>
            </w:r>
            <w:r w:rsidR="00CB4D43" w:rsidRPr="005E21BE">
              <w:rPr>
                <w:lang w:val="en-GB"/>
              </w:rPr>
              <w:t xml:space="preserve">mechanisms </w:t>
            </w:r>
            <w:r>
              <w:rPr>
                <w:lang w:val="en-GB"/>
              </w:rPr>
              <w:t xml:space="preserve">are </w:t>
            </w:r>
            <w:r w:rsidR="00CB4D43" w:rsidRPr="005E21BE">
              <w:rPr>
                <w:lang w:val="en-GB"/>
              </w:rPr>
              <w:t>established to report grievance, abuse or fraud</w:t>
            </w:r>
          </w:p>
          <w:p w:rsidR="00D97E0A" w:rsidRDefault="0083615F" w:rsidP="00D97E0A">
            <w:pPr>
              <w:pStyle w:val="KeinLeerraum"/>
              <w:rPr>
                <w:lang w:val="en-GB"/>
              </w:rPr>
            </w:pPr>
            <w:hyperlink r:id="rId18" w:history="1">
              <w:r w:rsidR="00D97E0A" w:rsidRPr="00C13272">
                <w:rPr>
                  <w:rStyle w:val="Hyperlink"/>
                  <w:lang w:val="en-GB"/>
                </w:rPr>
                <w:t>https://emergency.unhcr.org/entry/109574/complaints-mechanisms-cash-based-interventions</w:t>
              </w:r>
            </w:hyperlink>
            <w:r w:rsidR="00D97E0A">
              <w:rPr>
                <w:lang w:val="en-GB"/>
              </w:rPr>
              <w:t xml:space="preserve"> </w:t>
            </w:r>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5E21BE" w:rsidRDefault="00CB4D43" w:rsidP="00CB4D43">
            <w:pPr>
              <w:jc w:val="center"/>
              <w:rPr>
                <w:lang w:val="en-GB"/>
              </w:rPr>
            </w:pPr>
          </w:p>
        </w:tc>
        <w:tc>
          <w:tcPr>
            <w:tcW w:w="2544" w:type="dxa"/>
          </w:tcPr>
          <w:p w:rsidR="00CB4D43" w:rsidRPr="001551C8" w:rsidRDefault="00CB4D43" w:rsidP="00CB4D43">
            <w:pPr>
              <w:rPr>
                <w:lang w:val="en-GB"/>
              </w:rPr>
            </w:pPr>
          </w:p>
        </w:tc>
      </w:tr>
      <w:tr w:rsidR="00CB4D43" w:rsidRPr="005479A7" w:rsidTr="00C77C56">
        <w:tc>
          <w:tcPr>
            <w:tcW w:w="1615" w:type="dxa"/>
          </w:tcPr>
          <w:p w:rsidR="00CB4D43" w:rsidRPr="00C77C56" w:rsidRDefault="00CB4D43" w:rsidP="00CB4D43">
            <w:pPr>
              <w:rPr>
                <w:b/>
                <w:sz w:val="24"/>
                <w:szCs w:val="24"/>
                <w:lang w:val="en-GB"/>
              </w:rPr>
            </w:pPr>
            <w:r w:rsidRPr="00C77C56">
              <w:rPr>
                <w:b/>
                <w:sz w:val="24"/>
                <w:szCs w:val="24"/>
                <w:lang w:val="en-GB"/>
              </w:rPr>
              <w:t>Evaluating</w:t>
            </w:r>
          </w:p>
        </w:tc>
        <w:tc>
          <w:tcPr>
            <w:tcW w:w="10303" w:type="dxa"/>
          </w:tcPr>
          <w:p w:rsidR="00CB4D43" w:rsidRPr="005154EF" w:rsidRDefault="00CB4D43" w:rsidP="00CB4D43">
            <w:pPr>
              <w:pStyle w:val="Listenabsatz"/>
              <w:numPr>
                <w:ilvl w:val="0"/>
                <w:numId w:val="5"/>
              </w:numPr>
              <w:rPr>
                <w:lang w:val="en-GB"/>
              </w:rPr>
            </w:pPr>
            <w:r w:rsidRPr="005154EF">
              <w:rPr>
                <w:lang w:val="en-GB"/>
              </w:rPr>
              <w:t>Evaluate the project</w:t>
            </w:r>
          </w:p>
          <w:p w:rsidR="00CB4D43" w:rsidRDefault="00B12B5F" w:rsidP="00CB4D43">
            <w:pPr>
              <w:pStyle w:val="Listenabsatz"/>
              <w:numPr>
                <w:ilvl w:val="0"/>
                <w:numId w:val="6"/>
              </w:numPr>
              <w:rPr>
                <w:lang w:val="en-GB"/>
              </w:rPr>
            </w:pPr>
            <w:r>
              <w:rPr>
                <w:lang w:val="en-GB"/>
              </w:rPr>
              <w:t xml:space="preserve">Identify </w:t>
            </w:r>
            <w:r w:rsidR="00CB4D43" w:rsidRPr="003F605F">
              <w:rPr>
                <w:lang w:val="en-GB"/>
              </w:rPr>
              <w:t>the best evaluation methodology based on the indicators developed through the strategy</w:t>
            </w:r>
          </w:p>
          <w:p w:rsidR="0084351C" w:rsidRPr="0084351C" w:rsidRDefault="0083615F" w:rsidP="0084351C">
            <w:pPr>
              <w:rPr>
                <w:lang w:val="en-GB"/>
              </w:rPr>
            </w:pPr>
            <w:hyperlink r:id="rId19" w:history="1">
              <w:r w:rsidR="0084351C" w:rsidRPr="00C13272">
                <w:rPr>
                  <w:rStyle w:val="Hyperlink"/>
                  <w:lang w:val="en-GB"/>
                </w:rPr>
                <w:t>https://emergency.unhcr.org/entry/91265/evaluations</w:t>
              </w:r>
            </w:hyperlink>
          </w:p>
        </w:tc>
        <w:tc>
          <w:tcPr>
            <w:tcW w:w="706" w:type="dxa"/>
          </w:tcPr>
          <w:p w:rsidR="00CB4D43" w:rsidRPr="005E21BE" w:rsidRDefault="00CB4D43" w:rsidP="00CB4D43">
            <w:pPr>
              <w:jc w:val="center"/>
              <w:rPr>
                <w:lang w:val="en-GB"/>
              </w:rPr>
            </w:pPr>
          </w:p>
          <w:p w:rsidR="00CB4D43" w:rsidRPr="005E21BE" w:rsidRDefault="00CB4D43" w:rsidP="00CB4D43">
            <w:pPr>
              <w:jc w:val="center"/>
              <w:rPr>
                <w:lang w:val="en-GB"/>
              </w:rPr>
            </w:pPr>
            <w:r w:rsidRPr="005E21BE">
              <w:rPr>
                <w:lang w:val="en-GB"/>
              </w:rPr>
              <w:fldChar w:fldCharType="begin">
                <w:ffData>
                  <w:name w:val=""/>
                  <w:enabled/>
                  <w:calcOnExit w:val="0"/>
                  <w:checkBox>
                    <w:sizeAuto/>
                    <w:default w:val="0"/>
                  </w:checkBox>
                </w:ffData>
              </w:fldChar>
            </w:r>
            <w:r w:rsidRPr="005E21BE">
              <w:rPr>
                <w:lang w:val="en-GB"/>
              </w:rPr>
              <w:instrText xml:space="preserve"> FORMCHECKBOX </w:instrText>
            </w:r>
            <w:r w:rsidR="0083615F">
              <w:rPr>
                <w:lang w:val="en-GB"/>
              </w:rPr>
            </w:r>
            <w:r w:rsidR="0083615F">
              <w:rPr>
                <w:lang w:val="en-GB"/>
              </w:rPr>
              <w:fldChar w:fldCharType="separate"/>
            </w:r>
            <w:r w:rsidRPr="005E21BE">
              <w:rPr>
                <w:lang w:val="en-GB"/>
              </w:rPr>
              <w:fldChar w:fldCharType="end"/>
            </w:r>
          </w:p>
          <w:p w:rsidR="00CB4D43" w:rsidRPr="001551C8" w:rsidRDefault="00CB4D43" w:rsidP="00CB4D43">
            <w:pPr>
              <w:rPr>
                <w:lang w:val="en-GB"/>
              </w:rPr>
            </w:pPr>
          </w:p>
        </w:tc>
        <w:tc>
          <w:tcPr>
            <w:tcW w:w="2544" w:type="dxa"/>
          </w:tcPr>
          <w:p w:rsidR="00CB4D43" w:rsidRPr="001551C8" w:rsidRDefault="00CB4D43" w:rsidP="00CB4D43">
            <w:pPr>
              <w:rPr>
                <w:lang w:val="en-GB"/>
              </w:rPr>
            </w:pPr>
          </w:p>
        </w:tc>
      </w:tr>
    </w:tbl>
    <w:p w:rsidR="003F605F" w:rsidRDefault="003F605F" w:rsidP="003F605F">
      <w:pPr>
        <w:rPr>
          <w:lang w:val="en-GB"/>
        </w:rPr>
      </w:pPr>
    </w:p>
    <w:p w:rsidR="00F22BB4" w:rsidRDefault="00F22BB4" w:rsidP="003F605F">
      <w:pPr>
        <w:rPr>
          <w:lang w:val="en-GB"/>
        </w:rPr>
      </w:pPr>
      <w:r>
        <w:rPr>
          <w:lang w:val="en-GB"/>
        </w:rPr>
        <w:t>TEXTBOX:</w:t>
      </w:r>
    </w:p>
    <w:p w:rsidR="00F22BB4" w:rsidRPr="00F22BB4" w:rsidRDefault="00F22BB4" w:rsidP="00F22BB4">
      <w:pPr>
        <w:rPr>
          <w:i/>
          <w:lang w:val="en-GB"/>
        </w:rPr>
      </w:pPr>
      <w:r w:rsidRPr="00F22BB4">
        <w:rPr>
          <w:i/>
          <w:lang w:val="en-GB"/>
        </w:rPr>
        <w:t>Case study Cash for Rent</w:t>
      </w:r>
    </w:p>
    <w:p w:rsidR="00F22BB4" w:rsidRPr="005C2175" w:rsidRDefault="00F22BB4" w:rsidP="005C2175">
      <w:pPr>
        <w:pStyle w:val="KeinLeerraum"/>
        <w:rPr>
          <w:i/>
        </w:rPr>
      </w:pPr>
      <w:r w:rsidRPr="005C2175">
        <w:rPr>
          <w:i/>
        </w:rPr>
        <w:t>According to the Shelter Working Group in Jordan, 91% of all refugees live in rented accommodation, often without any lease agreement. Rent represents the largest proportion (57%) of refugee households’ expenditure, followed by food (24%) and utilities (8%).</w:t>
      </w:r>
      <w:r w:rsidRPr="005C2175">
        <w:rPr>
          <w:rStyle w:val="Funotenzeichen"/>
          <w:i/>
          <w:lang w:val="en-GB"/>
        </w:rPr>
        <w:footnoteReference w:id="1"/>
      </w:r>
      <w:r w:rsidRPr="005C2175">
        <w:rPr>
          <w:i/>
        </w:rPr>
        <w:t xml:space="preserve"> </w:t>
      </w:r>
    </w:p>
    <w:p w:rsidR="00F22BB4" w:rsidRPr="005C2175" w:rsidRDefault="00F22BB4" w:rsidP="005C2175">
      <w:pPr>
        <w:pStyle w:val="KeinLeerraum"/>
        <w:rPr>
          <w:i/>
        </w:rPr>
      </w:pPr>
      <w:r w:rsidRPr="005C2175">
        <w:rPr>
          <w:i/>
        </w:rPr>
        <w:t>In most countries there are legal limitations on refugees getting work permits, as well as a general lack of livelihood opportunities, which increases the risk of eviction for refugees who are unable to meet the rental payments. One of the main objectives of cash for rent is to protect beneficiaries from forced eviction. Members of the Shelter Working Groups in Jordan as well as in Lebanon, have used the cash-for-rent interventions to support the refuge</w:t>
      </w:r>
      <w:r w:rsidR="005C2175">
        <w:rPr>
          <w:i/>
        </w:rPr>
        <w:t>e</w:t>
      </w:r>
      <w:r w:rsidRPr="005C2175">
        <w:rPr>
          <w:i/>
        </w:rPr>
        <w:t>s on different levels – 1) physically, by ensuring access to adequate accommodation in non-camp settings, and 2) legally, by advocacy for secure tenancy without risk of eviction.</w:t>
      </w:r>
    </w:p>
    <w:p w:rsidR="00F22BB4" w:rsidRPr="005C2175" w:rsidRDefault="00F22BB4" w:rsidP="005C2175">
      <w:pPr>
        <w:pStyle w:val="KeinLeerraum"/>
        <w:rPr>
          <w:i/>
        </w:rPr>
      </w:pPr>
      <w:r w:rsidRPr="005C2175">
        <w:rPr>
          <w:i/>
        </w:rPr>
        <w:lastRenderedPageBreak/>
        <w:t xml:space="preserve">Cash for rent can be one component of a short-term, urgent winterization support, which rarely lasts longer than 3-4 months. But cash for rent, can also be targeted to more medium-, or even longer-term outcomes. The intention there, is to provide the PoC with time, typically a period of 12 months, where they don’t have to worry about the rent, but can focus on finding sustainable sources of income, to be able to meet rental payments on their own afterwards. In the end, the sustainability of rental support programmes depends upon whether the PoC can find secure income sources during the assistance period. </w:t>
      </w:r>
    </w:p>
    <w:p w:rsidR="00F22BB4" w:rsidRPr="005C2175" w:rsidRDefault="00F22BB4" w:rsidP="005C2175">
      <w:pPr>
        <w:pStyle w:val="KeinLeerraum"/>
        <w:rPr>
          <w:i/>
          <w:highlight w:val="yellow"/>
        </w:rPr>
      </w:pPr>
      <w:r w:rsidRPr="005C2175">
        <w:rPr>
          <w:i/>
        </w:rPr>
        <w:t xml:space="preserve">Rental assistance is relevant, but not necessarily sustainable. In 2016 the </w:t>
      </w:r>
      <w:r w:rsidR="003A0A9C">
        <w:rPr>
          <w:i/>
        </w:rPr>
        <w:t>S</w:t>
      </w:r>
      <w:r w:rsidRPr="005C2175">
        <w:rPr>
          <w:i/>
        </w:rPr>
        <w:t xml:space="preserve">helter </w:t>
      </w:r>
      <w:r w:rsidR="003A0A9C">
        <w:rPr>
          <w:i/>
        </w:rPr>
        <w:t>C</w:t>
      </w:r>
      <w:r w:rsidRPr="005C2175">
        <w:rPr>
          <w:i/>
        </w:rPr>
        <w:t>luster in Afghanistan stopped the rental support programme, because it hasn’t turned out to be sustainable. Landlords accepted the vulnerable families just as long as the rent was paid, then families were evicted. Generally, there will be questions about the possible maximum duration of any rental subsidy programme, especially on larger scales as in Jordan or Lebanon, without causing serious rent inflation for the entire population.</w:t>
      </w:r>
      <w:r w:rsidR="00CD461E">
        <w:rPr>
          <w:i/>
        </w:rPr>
        <w:t xml:space="preserve"> </w:t>
      </w:r>
      <w:r w:rsidR="00CD461E" w:rsidRPr="00F22BB4">
        <w:rPr>
          <w:i/>
          <w:lang w:val="en-GB"/>
        </w:rPr>
        <w:t>There are practical challenges for deciding what is an adequate value. Other choices have to rely upon a high degree of coordination and cohesive decision-making between organisations present in the same area.</w:t>
      </w:r>
      <w:r w:rsidRPr="005C2175">
        <w:rPr>
          <w:i/>
        </w:rPr>
        <w:t xml:space="preserve"> In some responses, depending on vulnerability criteria and own budget requirements, some agencies have provided partial rent support, whilst others have provided full support. In other cases, some organisations have provided support for just four months, and others for up to 24 months. Particularly in urban areas with mixed populations, there is a growing consensus that if vulnerability is the main criteria to be selected for support, then very vulnerable groups from the host community should also be supported as well.</w:t>
      </w:r>
    </w:p>
    <w:p w:rsidR="00F22BB4" w:rsidRPr="005C2175" w:rsidRDefault="00F22BB4" w:rsidP="005C2175">
      <w:pPr>
        <w:pStyle w:val="KeinLeerraum"/>
        <w:rPr>
          <w:i/>
        </w:rPr>
      </w:pPr>
      <w:r w:rsidRPr="005C2175">
        <w:rPr>
          <w:i/>
        </w:rPr>
        <w:t xml:space="preserve">Partly in response to these questions, in Lebanon and Jordan, a focus of the guidance has been on the ability to provide relevant legal advice to the beneficiaries; part of that is an updated market assessment of rental prices, as well as an assessment of the local housing and tenancy rights. This is to inform the rental transfer value and to enable advocacy for legal lease agreements, before providing the assistance. </w:t>
      </w:r>
    </w:p>
    <w:p w:rsidR="00907756" w:rsidRPr="005C2175" w:rsidRDefault="00F22BB4" w:rsidP="005C2175">
      <w:pPr>
        <w:pStyle w:val="KeinLeerraum"/>
        <w:rPr>
          <w:i/>
        </w:rPr>
      </w:pPr>
      <w:r w:rsidRPr="005C2175">
        <w:rPr>
          <w:i/>
        </w:rPr>
        <w:t xml:space="preserve">Elsewhere, UNHCR has supported the Greek Government in its effort to increase the number of reception places for asylum seekers, eligible for relocation to other EU member states, as well as for those seeking asylum in Greece. The aim is to provide the PoC with more dignified living conditions, in rented apartments, with host families or in hotels, and to be able to gradually close a number of camps by transferring the asylum seekers into urban accommodation. The implementing agency or local municipalities arrange agreements with landlords about the accommodation. It is extremely difficult for the PoC, who don’t speak Greek, to find an adequate place to stay by themselves. </w:t>
      </w:r>
      <w:r w:rsidR="00907756" w:rsidRPr="005C2175">
        <w:rPr>
          <w:i/>
        </w:rPr>
        <w:t xml:space="preserve"> </w:t>
      </w:r>
    </w:p>
    <w:p w:rsidR="00D961E8" w:rsidRDefault="005C2175" w:rsidP="003F605F">
      <w:pPr>
        <w:rPr>
          <w:lang w:val="en-GB"/>
        </w:rPr>
      </w:pPr>
      <w:r>
        <w:rPr>
          <w:noProof/>
        </w:rPr>
        <w:pict>
          <v:shapetype id="_x0000_t202" coordsize="21600,21600" o:spt="202" path="m,l,21600r21600,l21600,xe">
            <v:stroke joinstyle="miter"/>
            <v:path gradientshapeok="t" o:connecttype="rect"/>
          </v:shapetype>
          <v:shape id="Textfeld 2" o:spid="_x0000_s1027" type="#_x0000_t202" style="position:absolute;margin-left:-10.5pt;margin-top:184.35pt;width:433.15pt;height:156.05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">
            <v:textbox style="mso-fit-shape-to-text:t">
              <w:txbxContent>
                <w:p w:rsidR="00D961E8" w:rsidRDefault="00D961E8" w:rsidP="00D961E8">
                  <w:pPr>
                    <w:rPr>
                      <w:lang w:val="en-GB"/>
                    </w:rPr>
                  </w:pPr>
                  <w:r>
                    <w:rPr>
                      <w:lang w:val="en-GB"/>
                    </w:rPr>
                    <w:t>Further reading about cash for rent:</w:t>
                  </w:r>
                </w:p>
                <w:p w:rsidR="001547F9" w:rsidRDefault="0083615F" w:rsidP="00D961E8">
                  <w:pPr>
                    <w:rPr>
                      <w:rStyle w:val="Hyperlink"/>
                      <w:lang w:val="en-GB"/>
                    </w:rPr>
                  </w:pPr>
                  <w:hyperlink r:id="rId20" w:history="1">
                    <w:r w:rsidR="00D961E8" w:rsidRPr="002B0A55">
                      <w:rPr>
                        <w:rStyle w:val="Hyperlink"/>
                        <w:lang w:val="en-GB"/>
                      </w:rPr>
                      <w:t>https://emergency.unhcr.org/entry/93051/rental-accommodation-strategy-considerations</w:t>
                    </w:r>
                  </w:hyperlink>
                </w:p>
                <w:p w:rsidR="0084351C" w:rsidRPr="001547F9" w:rsidRDefault="0084351C" w:rsidP="00D961E8">
                  <w:pPr>
                    <w:rPr>
                      <w:color w:val="0000FF"/>
                      <w:u w:val="single"/>
                      <w:lang w:val="en-GB"/>
                    </w:rPr>
                  </w:pPr>
                  <w:r w:rsidRPr="0084351C">
                    <w:rPr>
                      <w:lang w:val="en-GB"/>
                    </w:rPr>
                    <w:t xml:space="preserve">UN Habitat Rental Housing: </w:t>
                  </w:r>
                  <w:r w:rsidRPr="0084351C">
                    <w:rPr>
                      <w:color w:val="0000FF"/>
                      <w:u w:val="single"/>
                      <w:lang w:val="en-GB"/>
                    </w:rPr>
                    <w:t>https://cms.emergency.unhcr.org/documents/11982/45605/UN+Habitat%2C+Rental+Housing.+An+essential+option+for+the+urban+poor+in+developing+countries/0fbd89c7-b21c-40aa-9990-754a09d53482</w:t>
                  </w:r>
                </w:p>
                <w:p w:rsidR="00017B7A" w:rsidRPr="00D961E8" w:rsidRDefault="001547F9" w:rsidP="00D961E8">
                  <w:pPr>
                    <w:rPr>
                      <w:lang w:val="en-GB"/>
                    </w:rPr>
                  </w:pPr>
                  <w:r>
                    <w:rPr>
                      <w:lang w:val="en-GB"/>
                    </w:rPr>
                    <w:t xml:space="preserve">UNHCR CBI website </w:t>
                  </w:r>
                  <w:r w:rsidR="005B47C6">
                    <w:rPr>
                      <w:lang w:val="en-GB"/>
                    </w:rPr>
                    <w:t xml:space="preserve">with </w:t>
                  </w:r>
                  <w:r>
                    <w:rPr>
                      <w:lang w:val="en-GB"/>
                    </w:rPr>
                    <w:t xml:space="preserve">further tools: </w:t>
                  </w:r>
                  <w:hyperlink r:id="rId21" w:history="1">
                    <w:r w:rsidR="001C62DA" w:rsidRPr="00D5138F">
                      <w:rPr>
                        <w:rStyle w:val="Hyperlink"/>
                        <w:lang w:val="en-GB"/>
                      </w:rPr>
                      <w:t>http://www.unhcr.org/cash-based-interventions.html</w:t>
                    </w:r>
                  </w:hyperlink>
                </w:p>
              </w:txbxContent>
            </v:textbox>
            <w10:wrap type="square"/>
          </v:shape>
        </w:pict>
      </w:r>
    </w:p>
    <w:sectPr w:rsidR="00D961E8" w:rsidSect="001551C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15F" w:rsidRDefault="0083615F" w:rsidP="00F22BB4">
      <w:pPr>
        <w:spacing w:after="0" w:line="240" w:lineRule="auto"/>
      </w:pPr>
      <w:r>
        <w:separator/>
      </w:r>
    </w:p>
  </w:endnote>
  <w:endnote w:type="continuationSeparator" w:id="0">
    <w:p w:rsidR="0083615F" w:rsidRDefault="0083615F" w:rsidP="00F22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15F" w:rsidRDefault="0083615F" w:rsidP="00F22BB4">
      <w:pPr>
        <w:spacing w:after="0" w:line="240" w:lineRule="auto"/>
      </w:pPr>
      <w:r>
        <w:separator/>
      </w:r>
    </w:p>
  </w:footnote>
  <w:footnote w:type="continuationSeparator" w:id="0">
    <w:p w:rsidR="0083615F" w:rsidRDefault="0083615F" w:rsidP="00F22BB4">
      <w:pPr>
        <w:spacing w:after="0" w:line="240" w:lineRule="auto"/>
      </w:pPr>
      <w:r>
        <w:continuationSeparator/>
      </w:r>
    </w:p>
  </w:footnote>
  <w:footnote w:id="1">
    <w:p w:rsidR="00F22BB4" w:rsidRPr="00690990" w:rsidRDefault="00F22BB4" w:rsidP="00F22BB4">
      <w:pPr>
        <w:pStyle w:val="Funotentext"/>
        <w:rPr>
          <w:lang w:val="en-GB"/>
        </w:rPr>
      </w:pPr>
      <w:r>
        <w:rPr>
          <w:rStyle w:val="Funotenzeichen"/>
        </w:rPr>
        <w:footnoteRef/>
      </w:r>
      <w:r w:rsidRPr="00690990">
        <w:rPr>
          <w:lang w:val="en-GB"/>
        </w:rPr>
        <w:t xml:space="preserve"> </w:t>
      </w:r>
      <w:r>
        <w:rPr>
          <w:lang w:val="en-GB"/>
        </w:rPr>
        <w:t>Shelter Working Group Jordan 2015: Technical Guidelines: Conditional Cash for Rent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7BD1"/>
    <w:multiLevelType w:val="hybridMultilevel"/>
    <w:tmpl w:val="7FA080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05097F"/>
    <w:multiLevelType w:val="hybridMultilevel"/>
    <w:tmpl w:val="E8E2D9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F5E3B5D"/>
    <w:multiLevelType w:val="hybridMultilevel"/>
    <w:tmpl w:val="74DEC4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00D62F1"/>
    <w:multiLevelType w:val="hybridMultilevel"/>
    <w:tmpl w:val="29FE78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1AA48B6"/>
    <w:multiLevelType w:val="hybridMultilevel"/>
    <w:tmpl w:val="68B2E7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6E87794"/>
    <w:multiLevelType w:val="hybridMultilevel"/>
    <w:tmpl w:val="1D1895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BCF04D1"/>
    <w:multiLevelType w:val="hybridMultilevel"/>
    <w:tmpl w:val="83EEB1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CA348A5"/>
    <w:multiLevelType w:val="hybridMultilevel"/>
    <w:tmpl w:val="EED4E48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294384A"/>
    <w:multiLevelType w:val="hybridMultilevel"/>
    <w:tmpl w:val="594071BA"/>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3CA3416"/>
    <w:multiLevelType w:val="hybridMultilevel"/>
    <w:tmpl w:val="08FE60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C9A57D0"/>
    <w:multiLevelType w:val="hybridMultilevel"/>
    <w:tmpl w:val="D3AAC7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BF27784"/>
    <w:multiLevelType w:val="hybridMultilevel"/>
    <w:tmpl w:val="639E1EF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C332B72"/>
    <w:multiLevelType w:val="hybridMultilevel"/>
    <w:tmpl w:val="B42C85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9F673FA"/>
    <w:multiLevelType w:val="hybridMultilevel"/>
    <w:tmpl w:val="BFA6E34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A8971F0"/>
    <w:multiLevelType w:val="hybridMultilevel"/>
    <w:tmpl w:val="0172C90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D0A044B"/>
    <w:multiLevelType w:val="hybridMultilevel"/>
    <w:tmpl w:val="4FC47E1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0125666"/>
    <w:multiLevelType w:val="hybridMultilevel"/>
    <w:tmpl w:val="789EA8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0776E90"/>
    <w:multiLevelType w:val="hybridMultilevel"/>
    <w:tmpl w:val="B8C03B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2D96D7A"/>
    <w:multiLevelType w:val="hybridMultilevel"/>
    <w:tmpl w:val="5128DC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4486C49"/>
    <w:multiLevelType w:val="hybridMultilevel"/>
    <w:tmpl w:val="1166D7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5F36684"/>
    <w:multiLevelType w:val="hybridMultilevel"/>
    <w:tmpl w:val="115448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668E182E"/>
    <w:multiLevelType w:val="hybridMultilevel"/>
    <w:tmpl w:val="8D7652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AB739C8"/>
    <w:multiLevelType w:val="hybridMultilevel"/>
    <w:tmpl w:val="73748FE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EB44151"/>
    <w:multiLevelType w:val="hybridMultilevel"/>
    <w:tmpl w:val="5B322A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F0D1974"/>
    <w:multiLevelType w:val="hybridMultilevel"/>
    <w:tmpl w:val="3C389BA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28C3942"/>
    <w:multiLevelType w:val="hybridMultilevel"/>
    <w:tmpl w:val="94FC2C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3640BEA"/>
    <w:multiLevelType w:val="hybridMultilevel"/>
    <w:tmpl w:val="07C8D4F4"/>
    <w:lvl w:ilvl="0" w:tplc="4A6201EC">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FA3412"/>
    <w:multiLevelType w:val="hybridMultilevel"/>
    <w:tmpl w:val="A78895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D126CBD"/>
    <w:multiLevelType w:val="hybridMultilevel"/>
    <w:tmpl w:val="BF4073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15"/>
  </w:num>
  <w:num w:numId="4">
    <w:abstractNumId w:val="2"/>
  </w:num>
  <w:num w:numId="5">
    <w:abstractNumId w:val="14"/>
  </w:num>
  <w:num w:numId="6">
    <w:abstractNumId w:val="19"/>
  </w:num>
  <w:num w:numId="7">
    <w:abstractNumId w:val="18"/>
  </w:num>
  <w:num w:numId="8">
    <w:abstractNumId w:val="11"/>
  </w:num>
  <w:num w:numId="9">
    <w:abstractNumId w:val="28"/>
  </w:num>
  <w:num w:numId="10">
    <w:abstractNumId w:val="10"/>
  </w:num>
  <w:num w:numId="11">
    <w:abstractNumId w:val="26"/>
  </w:num>
  <w:num w:numId="12">
    <w:abstractNumId w:val="5"/>
  </w:num>
  <w:num w:numId="13">
    <w:abstractNumId w:val="16"/>
  </w:num>
  <w:num w:numId="14">
    <w:abstractNumId w:val="1"/>
  </w:num>
  <w:num w:numId="15">
    <w:abstractNumId w:val="20"/>
  </w:num>
  <w:num w:numId="16">
    <w:abstractNumId w:val="25"/>
  </w:num>
  <w:num w:numId="17">
    <w:abstractNumId w:val="12"/>
  </w:num>
  <w:num w:numId="18">
    <w:abstractNumId w:val="3"/>
  </w:num>
  <w:num w:numId="19">
    <w:abstractNumId w:val="23"/>
  </w:num>
  <w:num w:numId="20">
    <w:abstractNumId w:val="24"/>
  </w:num>
  <w:num w:numId="21">
    <w:abstractNumId w:val="6"/>
  </w:num>
  <w:num w:numId="22">
    <w:abstractNumId w:val="0"/>
  </w:num>
  <w:num w:numId="23">
    <w:abstractNumId w:val="9"/>
  </w:num>
  <w:num w:numId="24">
    <w:abstractNumId w:val="7"/>
  </w:num>
  <w:num w:numId="25">
    <w:abstractNumId w:val="22"/>
  </w:num>
  <w:num w:numId="26">
    <w:abstractNumId w:val="27"/>
  </w:num>
  <w:num w:numId="27">
    <w:abstractNumId w:val="13"/>
  </w:num>
  <w:num w:numId="28">
    <w:abstractNumId w:val="17"/>
  </w:num>
  <w:num w:numId="29">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551C8"/>
    <w:rsid w:val="00017B7A"/>
    <w:rsid w:val="0002578E"/>
    <w:rsid w:val="00034CC2"/>
    <w:rsid w:val="000552F8"/>
    <w:rsid w:val="00055C4F"/>
    <w:rsid w:val="00060694"/>
    <w:rsid w:val="0006164D"/>
    <w:rsid w:val="00073CBD"/>
    <w:rsid w:val="000852D2"/>
    <w:rsid w:val="000A30F4"/>
    <w:rsid w:val="000A6E45"/>
    <w:rsid w:val="000B0441"/>
    <w:rsid w:val="000D764B"/>
    <w:rsid w:val="000E50E3"/>
    <w:rsid w:val="000F109B"/>
    <w:rsid w:val="00106363"/>
    <w:rsid w:val="00125FEE"/>
    <w:rsid w:val="00150F59"/>
    <w:rsid w:val="001547F9"/>
    <w:rsid w:val="001551C8"/>
    <w:rsid w:val="001635CA"/>
    <w:rsid w:val="001B2FB1"/>
    <w:rsid w:val="001C62DA"/>
    <w:rsid w:val="001E7370"/>
    <w:rsid w:val="001F3F5E"/>
    <w:rsid w:val="00216B5B"/>
    <w:rsid w:val="00222B22"/>
    <w:rsid w:val="00260390"/>
    <w:rsid w:val="0027180A"/>
    <w:rsid w:val="00282579"/>
    <w:rsid w:val="00284819"/>
    <w:rsid w:val="00295BE9"/>
    <w:rsid w:val="002B718E"/>
    <w:rsid w:val="002C2CF5"/>
    <w:rsid w:val="002D0C62"/>
    <w:rsid w:val="00320A28"/>
    <w:rsid w:val="003260D6"/>
    <w:rsid w:val="00395D4D"/>
    <w:rsid w:val="003A0A9C"/>
    <w:rsid w:val="003C5F69"/>
    <w:rsid w:val="003F605F"/>
    <w:rsid w:val="00421BA7"/>
    <w:rsid w:val="0044069B"/>
    <w:rsid w:val="00450831"/>
    <w:rsid w:val="0046608C"/>
    <w:rsid w:val="0047592C"/>
    <w:rsid w:val="00476EC6"/>
    <w:rsid w:val="00495F7B"/>
    <w:rsid w:val="004B47B3"/>
    <w:rsid w:val="004E59FC"/>
    <w:rsid w:val="005154EF"/>
    <w:rsid w:val="00520D9A"/>
    <w:rsid w:val="005479A7"/>
    <w:rsid w:val="00550422"/>
    <w:rsid w:val="0058206E"/>
    <w:rsid w:val="005903CA"/>
    <w:rsid w:val="0059149B"/>
    <w:rsid w:val="005B47C6"/>
    <w:rsid w:val="005C2175"/>
    <w:rsid w:val="005C7D85"/>
    <w:rsid w:val="005D049C"/>
    <w:rsid w:val="005D0746"/>
    <w:rsid w:val="0060563A"/>
    <w:rsid w:val="00622E2D"/>
    <w:rsid w:val="00625269"/>
    <w:rsid w:val="00650CF0"/>
    <w:rsid w:val="00676C55"/>
    <w:rsid w:val="006E05FA"/>
    <w:rsid w:val="00723131"/>
    <w:rsid w:val="0073305D"/>
    <w:rsid w:val="007332F3"/>
    <w:rsid w:val="00766DF0"/>
    <w:rsid w:val="007940FE"/>
    <w:rsid w:val="007A2450"/>
    <w:rsid w:val="0080682A"/>
    <w:rsid w:val="00812F54"/>
    <w:rsid w:val="00823631"/>
    <w:rsid w:val="008276BD"/>
    <w:rsid w:val="00831F7E"/>
    <w:rsid w:val="0083615F"/>
    <w:rsid w:val="0084351C"/>
    <w:rsid w:val="00874781"/>
    <w:rsid w:val="008840B8"/>
    <w:rsid w:val="00885A49"/>
    <w:rsid w:val="008A278A"/>
    <w:rsid w:val="00906B0D"/>
    <w:rsid w:val="00907756"/>
    <w:rsid w:val="00915D34"/>
    <w:rsid w:val="00920C2E"/>
    <w:rsid w:val="0093450C"/>
    <w:rsid w:val="00945E98"/>
    <w:rsid w:val="00972A7A"/>
    <w:rsid w:val="00977EE0"/>
    <w:rsid w:val="00981501"/>
    <w:rsid w:val="00986C81"/>
    <w:rsid w:val="009930D4"/>
    <w:rsid w:val="009D66FB"/>
    <w:rsid w:val="009E76EC"/>
    <w:rsid w:val="009F3B41"/>
    <w:rsid w:val="00A03AA3"/>
    <w:rsid w:val="00A26270"/>
    <w:rsid w:val="00A31457"/>
    <w:rsid w:val="00A34D77"/>
    <w:rsid w:val="00A547A9"/>
    <w:rsid w:val="00A93A4B"/>
    <w:rsid w:val="00AC1450"/>
    <w:rsid w:val="00AC4CA3"/>
    <w:rsid w:val="00AD4974"/>
    <w:rsid w:val="00AE716D"/>
    <w:rsid w:val="00AF2A2A"/>
    <w:rsid w:val="00AF4BE2"/>
    <w:rsid w:val="00B12B5F"/>
    <w:rsid w:val="00B14BA1"/>
    <w:rsid w:val="00B338CC"/>
    <w:rsid w:val="00B37948"/>
    <w:rsid w:val="00B60379"/>
    <w:rsid w:val="00B709E4"/>
    <w:rsid w:val="00B742FD"/>
    <w:rsid w:val="00B915B0"/>
    <w:rsid w:val="00BC3DFE"/>
    <w:rsid w:val="00BC66A3"/>
    <w:rsid w:val="00BE1145"/>
    <w:rsid w:val="00BE6022"/>
    <w:rsid w:val="00C15E5A"/>
    <w:rsid w:val="00C5254D"/>
    <w:rsid w:val="00C7071D"/>
    <w:rsid w:val="00C77C56"/>
    <w:rsid w:val="00C91A6A"/>
    <w:rsid w:val="00CB4D43"/>
    <w:rsid w:val="00CC230B"/>
    <w:rsid w:val="00CD461E"/>
    <w:rsid w:val="00CF56F6"/>
    <w:rsid w:val="00D37498"/>
    <w:rsid w:val="00D50577"/>
    <w:rsid w:val="00D54495"/>
    <w:rsid w:val="00D91C23"/>
    <w:rsid w:val="00D961E8"/>
    <w:rsid w:val="00D97E0A"/>
    <w:rsid w:val="00DD2078"/>
    <w:rsid w:val="00DF0893"/>
    <w:rsid w:val="00E009EF"/>
    <w:rsid w:val="00E14BD1"/>
    <w:rsid w:val="00E40302"/>
    <w:rsid w:val="00E63B4F"/>
    <w:rsid w:val="00E64BA0"/>
    <w:rsid w:val="00E6702A"/>
    <w:rsid w:val="00E8704F"/>
    <w:rsid w:val="00E9107A"/>
    <w:rsid w:val="00E91A2B"/>
    <w:rsid w:val="00EA5F23"/>
    <w:rsid w:val="00ED478A"/>
    <w:rsid w:val="00EE775B"/>
    <w:rsid w:val="00EF0C92"/>
    <w:rsid w:val="00F0088B"/>
    <w:rsid w:val="00F02577"/>
    <w:rsid w:val="00F118F0"/>
    <w:rsid w:val="00F22BB4"/>
    <w:rsid w:val="00F2628B"/>
    <w:rsid w:val="00F54D81"/>
    <w:rsid w:val="00F57F37"/>
    <w:rsid w:val="00FC302D"/>
    <w:rsid w:val="00FC53D1"/>
    <w:rsid w:val="00FD4C1E"/>
    <w:rsid w:val="00FE3140"/>
    <w:rsid w:val="00FE6295"/>
    <w:rsid w:val="00FF20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691EC76-37BE-4C83-AC52-D6C51F47D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55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551C8"/>
    <w:pPr>
      <w:ind w:left="720"/>
      <w:contextualSpacing/>
    </w:pPr>
    <w:rPr>
      <w:rFonts w:ascii="Calibri" w:eastAsia="Calibri" w:hAnsi="Calibri" w:cs="Times New Roman"/>
    </w:rPr>
  </w:style>
  <w:style w:type="paragraph" w:styleId="KeinLeerraum">
    <w:name w:val="No Spacing"/>
    <w:uiPriority w:val="1"/>
    <w:qFormat/>
    <w:rsid w:val="001551C8"/>
    <w:pPr>
      <w:spacing w:after="0" w:line="240" w:lineRule="auto"/>
    </w:pPr>
    <w:rPr>
      <w:rFonts w:ascii="Calibri" w:eastAsia="Calibri" w:hAnsi="Calibri" w:cs="Times New Roman"/>
      <w:lang w:val="en-US"/>
    </w:rPr>
  </w:style>
  <w:style w:type="character" w:styleId="Hyperlink">
    <w:name w:val="Hyperlink"/>
    <w:uiPriority w:val="99"/>
    <w:unhideWhenUsed/>
    <w:rsid w:val="00C7071D"/>
    <w:rPr>
      <w:color w:val="0000FF"/>
      <w:u w:val="single"/>
    </w:rPr>
  </w:style>
  <w:style w:type="character" w:styleId="NichtaufgelsteErwhnung">
    <w:name w:val="Unresolved Mention"/>
    <w:basedOn w:val="Absatz-Standardschriftart"/>
    <w:uiPriority w:val="99"/>
    <w:semiHidden/>
    <w:unhideWhenUsed/>
    <w:rsid w:val="003F605F"/>
    <w:rPr>
      <w:color w:val="808080"/>
      <w:shd w:val="clear" w:color="auto" w:fill="E6E6E6"/>
    </w:rPr>
  </w:style>
  <w:style w:type="character" w:styleId="BesuchterLink">
    <w:name w:val="FollowedHyperlink"/>
    <w:uiPriority w:val="99"/>
    <w:semiHidden/>
    <w:unhideWhenUsed/>
    <w:rsid w:val="0060563A"/>
    <w:rPr>
      <w:color w:val="800080"/>
      <w:u w:val="single"/>
    </w:rPr>
  </w:style>
  <w:style w:type="paragraph" w:styleId="Funotentext">
    <w:name w:val="footnote text"/>
    <w:basedOn w:val="Standard"/>
    <w:link w:val="FunotentextZchn"/>
    <w:uiPriority w:val="99"/>
    <w:unhideWhenUsed/>
    <w:rsid w:val="00F22BB4"/>
    <w:pPr>
      <w:spacing w:after="0" w:line="240" w:lineRule="auto"/>
    </w:pPr>
    <w:rPr>
      <w:sz w:val="20"/>
      <w:szCs w:val="20"/>
    </w:rPr>
  </w:style>
  <w:style w:type="character" w:customStyle="1" w:styleId="FunotentextZchn">
    <w:name w:val="Fußnotentext Zchn"/>
    <w:basedOn w:val="Absatz-Standardschriftart"/>
    <w:link w:val="Funotentext"/>
    <w:uiPriority w:val="99"/>
    <w:rsid w:val="00F22BB4"/>
    <w:rPr>
      <w:sz w:val="20"/>
      <w:szCs w:val="20"/>
    </w:rPr>
  </w:style>
  <w:style w:type="character" w:styleId="Funotenzeichen">
    <w:name w:val="footnote reference"/>
    <w:basedOn w:val="Absatz-Standardschriftart"/>
    <w:uiPriority w:val="99"/>
    <w:semiHidden/>
    <w:unhideWhenUsed/>
    <w:rsid w:val="00F22BB4"/>
    <w:rPr>
      <w:vertAlign w:val="superscript"/>
    </w:rPr>
  </w:style>
  <w:style w:type="paragraph" w:styleId="Sprechblasentext">
    <w:name w:val="Balloon Text"/>
    <w:basedOn w:val="Standard"/>
    <w:link w:val="SprechblasentextZchn"/>
    <w:uiPriority w:val="99"/>
    <w:semiHidden/>
    <w:unhideWhenUsed/>
    <w:rsid w:val="002B718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71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674630">
      <w:bodyDiv w:val="1"/>
      <w:marLeft w:val="0"/>
      <w:marRight w:val="0"/>
      <w:marTop w:val="0"/>
      <w:marBottom w:val="0"/>
      <w:divBdr>
        <w:top w:val="none" w:sz="0" w:space="0" w:color="auto"/>
        <w:left w:val="none" w:sz="0" w:space="0" w:color="auto"/>
        <w:bottom w:val="none" w:sz="0" w:space="0" w:color="auto"/>
        <w:right w:val="none" w:sz="0" w:space="0" w:color="auto"/>
      </w:divBdr>
    </w:div>
    <w:div w:id="742802934">
      <w:bodyDiv w:val="1"/>
      <w:marLeft w:val="0"/>
      <w:marRight w:val="0"/>
      <w:marTop w:val="0"/>
      <w:marBottom w:val="0"/>
      <w:divBdr>
        <w:top w:val="none" w:sz="0" w:space="0" w:color="auto"/>
        <w:left w:val="none" w:sz="0" w:space="0" w:color="auto"/>
        <w:bottom w:val="none" w:sz="0" w:space="0" w:color="auto"/>
        <w:right w:val="none" w:sz="0" w:space="0" w:color="auto"/>
      </w:divBdr>
    </w:div>
    <w:div w:id="1204709607">
      <w:bodyDiv w:val="1"/>
      <w:marLeft w:val="0"/>
      <w:marRight w:val="0"/>
      <w:marTop w:val="0"/>
      <w:marBottom w:val="0"/>
      <w:divBdr>
        <w:top w:val="none" w:sz="0" w:space="0" w:color="auto"/>
        <w:left w:val="none" w:sz="0" w:space="0" w:color="auto"/>
        <w:bottom w:val="none" w:sz="0" w:space="0" w:color="auto"/>
        <w:right w:val="none" w:sz="0" w:space="0" w:color="auto"/>
      </w:divBdr>
    </w:div>
    <w:div w:id="1248882509">
      <w:bodyDiv w:val="1"/>
      <w:marLeft w:val="0"/>
      <w:marRight w:val="0"/>
      <w:marTop w:val="0"/>
      <w:marBottom w:val="0"/>
      <w:divBdr>
        <w:top w:val="none" w:sz="0" w:space="0" w:color="auto"/>
        <w:left w:val="none" w:sz="0" w:space="0" w:color="auto"/>
        <w:bottom w:val="none" w:sz="0" w:space="0" w:color="auto"/>
        <w:right w:val="none" w:sz="0" w:space="0" w:color="auto"/>
      </w:divBdr>
    </w:div>
    <w:div w:id="1548372610">
      <w:bodyDiv w:val="1"/>
      <w:marLeft w:val="0"/>
      <w:marRight w:val="0"/>
      <w:marTop w:val="0"/>
      <w:marBottom w:val="0"/>
      <w:divBdr>
        <w:top w:val="none" w:sz="0" w:space="0" w:color="auto"/>
        <w:left w:val="none" w:sz="0" w:space="0" w:color="auto"/>
        <w:bottom w:val="none" w:sz="0" w:space="0" w:color="auto"/>
        <w:right w:val="none" w:sz="0" w:space="0" w:color="auto"/>
      </w:divBdr>
    </w:div>
    <w:div w:id="199683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yperlink" Target="http://www.unhcr.org/cbi/Rental-Tools.zip" TargetMode="External"/><Relationship Id="rId18" Type="http://schemas.openxmlformats.org/officeDocument/2006/relationships/hyperlink" Target="https://emergency.unhcr.org/entry/109574/complaints-mechanisms-cash-based-interventions" TargetMode="External"/><Relationship Id="rId3" Type="http://schemas.openxmlformats.org/officeDocument/2006/relationships/settings" Target="settings.xml"/><Relationship Id="rId21" Type="http://schemas.openxmlformats.org/officeDocument/2006/relationships/hyperlink" Target="http://www.unhcr.org/cash-based-interventions.html" TargetMode="External"/><Relationship Id="rId7" Type="http://schemas.openxmlformats.org/officeDocument/2006/relationships/image" Target="media/image1.png"/><Relationship Id="rId12" Type="http://schemas.openxmlformats.org/officeDocument/2006/relationships/hyperlink" Target="http://www.unhcr.org/protection/operations/593e856e7/multi-sector-market-assessment-companion-guide-toolkit.html" TargetMode="External"/><Relationship Id="rId17" Type="http://schemas.openxmlformats.org/officeDocument/2006/relationships/hyperlink" Target="http://www.humanitarianlibrary.org/sites/default/files/2015/09/Right%20of%20Use%20Checklist.pdf" TargetMode="External"/><Relationship Id="rId2" Type="http://schemas.openxmlformats.org/officeDocument/2006/relationships/styles" Target="styles.xml"/><Relationship Id="rId16" Type="http://schemas.openxmlformats.org/officeDocument/2006/relationships/hyperlink" Target="http://www.humanitarianlibrary.org/resource/rent-controlled-lease-contract" TargetMode="External"/><Relationship Id="rId20" Type="http://schemas.openxmlformats.org/officeDocument/2006/relationships/hyperlink" Target="https://emergency.unhcr.org/entry/93051/rental-accommodation-strategy-consideration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mergency.unhcr.org/entry/95755/shelter-needs-assessment" TargetMode="External"/><Relationship Id="rId5" Type="http://schemas.openxmlformats.org/officeDocument/2006/relationships/footnotes" Target="footnotes.xml"/><Relationship Id="rId15" Type="http://schemas.openxmlformats.org/officeDocument/2006/relationships/hyperlink" Target="http://www.cashlearning.org/resources/library/28-communicating-cash-a-field-guide-to-beneficiary-communications-in-cash-transfer-programming-screen-version" TargetMode="External"/><Relationship Id="rId23" Type="http://schemas.openxmlformats.org/officeDocument/2006/relationships/theme" Target="theme/theme1.xml"/><Relationship Id="rId10" Type="http://schemas.openxmlformats.org/officeDocument/2006/relationships/hyperlink" Target="https://cms.emergency.unhcr.org/documents/11982/50204/UNHCR%2C+NARE+Full+Version/1b59a63a-ade8-4129-a4fc-30bc0cddaf89" TargetMode="External"/><Relationship Id="rId19" Type="http://schemas.openxmlformats.org/officeDocument/2006/relationships/hyperlink" Target="https://emergency.unhcr.org/entry/91265/evaluations" TargetMode="External"/><Relationship Id="rId4" Type="http://schemas.openxmlformats.org/officeDocument/2006/relationships/webSettings" Target="webSettings.xml"/><Relationship Id="rId9" Type="http://schemas.openxmlformats.org/officeDocument/2006/relationships/hyperlink" Target="https://emergency.unhcr.org/entry/89120/needs-assessment-for-cash-based-interventions" TargetMode="External"/><Relationship Id="rId14" Type="http://schemas.openxmlformats.org/officeDocument/2006/relationships/hyperlink" Target="http://www.unhcr.org/598c69db7" TargetMode="External"/><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1970</Words>
  <Characters>12415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dc:creator>
  <cp:keywords/>
  <dc:description/>
  <cp:lastModifiedBy>bettina</cp:lastModifiedBy>
  <cp:revision>1</cp:revision>
  <dcterms:created xsi:type="dcterms:W3CDTF">2018-02-02T11:21:00Z</dcterms:created>
  <dcterms:modified xsi:type="dcterms:W3CDTF">2018-02-02T14:46:00Z</dcterms:modified>
</cp:coreProperties>
</file>